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9B9" w:rsidRPr="002151E7" w:rsidRDefault="00C955F8" w:rsidP="005559B9">
      <w:pPr>
        <w:jc w:val="center"/>
        <w:rPr>
          <w:b/>
        </w:rPr>
      </w:pPr>
      <w:r w:rsidRPr="005559B9">
        <w:t xml:space="preserve"> </w:t>
      </w:r>
      <w:r w:rsidR="005559B9" w:rsidRPr="002151E7">
        <w:rPr>
          <w:b/>
        </w:rPr>
        <w:t>Sauk Valley Community College</w:t>
      </w:r>
    </w:p>
    <w:p w:rsidR="005559B9" w:rsidRPr="002151E7" w:rsidRDefault="005559B9" w:rsidP="005559B9">
      <w:pPr>
        <w:jc w:val="center"/>
        <w:rPr>
          <w:b/>
        </w:rPr>
      </w:pPr>
      <w:r w:rsidRPr="002151E7">
        <w:rPr>
          <w:b/>
        </w:rPr>
        <w:t>July 24, 2017</w:t>
      </w:r>
    </w:p>
    <w:p w:rsidR="005559B9" w:rsidRPr="002151E7" w:rsidRDefault="005559B9" w:rsidP="005559B9">
      <w:pPr>
        <w:jc w:val="center"/>
        <w:rPr>
          <w:b/>
        </w:rPr>
      </w:pPr>
    </w:p>
    <w:p w:rsidR="005559B9" w:rsidRPr="002151E7" w:rsidRDefault="005559B9" w:rsidP="005559B9"/>
    <w:p w:rsidR="005559B9" w:rsidRPr="002151E7" w:rsidRDefault="005559B9" w:rsidP="005559B9">
      <w:pPr>
        <w:rPr>
          <w:b/>
          <w:u w:val="single"/>
        </w:rPr>
      </w:pPr>
      <w:r w:rsidRPr="002151E7">
        <w:tab/>
      </w:r>
      <w:r w:rsidRPr="002151E7">
        <w:tab/>
      </w:r>
      <w:r w:rsidRPr="002151E7">
        <w:tab/>
      </w:r>
      <w:r w:rsidRPr="002151E7">
        <w:tab/>
      </w:r>
      <w:r w:rsidRPr="002151E7">
        <w:tab/>
      </w:r>
      <w:r w:rsidRPr="002151E7">
        <w:tab/>
      </w:r>
      <w:r w:rsidRPr="002151E7">
        <w:tab/>
      </w:r>
      <w:r w:rsidRPr="002151E7">
        <w:tab/>
      </w:r>
      <w:r w:rsidRPr="002151E7">
        <w:tab/>
      </w:r>
      <w:r w:rsidRPr="002151E7">
        <w:tab/>
      </w:r>
      <w:r w:rsidRPr="002151E7">
        <w:rPr>
          <w:b/>
          <w:u w:val="single"/>
        </w:rPr>
        <w:t xml:space="preserve">Action Item 4.3 </w:t>
      </w:r>
    </w:p>
    <w:p w:rsidR="005559B9" w:rsidRPr="002151E7" w:rsidRDefault="005559B9" w:rsidP="005559B9"/>
    <w:p w:rsidR="005559B9" w:rsidRPr="002151E7" w:rsidRDefault="005559B9" w:rsidP="005559B9">
      <w:pPr>
        <w:ind w:left="2160" w:hanging="2160"/>
        <w:rPr>
          <w:b/>
        </w:rPr>
      </w:pPr>
      <w:r w:rsidRPr="002151E7">
        <w:rPr>
          <w:b/>
        </w:rPr>
        <w:t>Topic:</w:t>
      </w:r>
      <w:r w:rsidRPr="002151E7">
        <w:rPr>
          <w:b/>
        </w:rPr>
        <w:tab/>
        <w:t xml:space="preserve">2017-2018 </w:t>
      </w:r>
      <w:r>
        <w:rPr>
          <w:b/>
        </w:rPr>
        <w:t>Tentative Budget – Second</w:t>
      </w:r>
      <w:r w:rsidRPr="002151E7">
        <w:rPr>
          <w:b/>
        </w:rPr>
        <w:t xml:space="preserve"> Reading</w:t>
      </w:r>
    </w:p>
    <w:p w:rsidR="005559B9" w:rsidRPr="002151E7" w:rsidRDefault="005559B9" w:rsidP="005559B9">
      <w:pPr>
        <w:rPr>
          <w:b/>
        </w:rPr>
      </w:pPr>
    </w:p>
    <w:p w:rsidR="005559B9" w:rsidRPr="002151E7" w:rsidRDefault="005559B9" w:rsidP="005559B9">
      <w:pPr>
        <w:ind w:left="2160" w:hanging="2160"/>
        <w:rPr>
          <w:rFonts w:eastAsiaTheme="minorHAnsi"/>
          <w:b/>
        </w:rPr>
      </w:pPr>
      <w:r w:rsidRPr="002151E7">
        <w:rPr>
          <w:rFonts w:eastAsiaTheme="minorHAnsi"/>
          <w:b/>
        </w:rPr>
        <w:t xml:space="preserve">Strategic Direction:  </w:t>
      </w:r>
      <w:r w:rsidRPr="002151E7">
        <w:rPr>
          <w:rFonts w:eastAsiaTheme="minorHAnsi"/>
          <w:b/>
        </w:rPr>
        <w:tab/>
        <w:t>Goal 1, Objective 3 – Be operationally efficient in order to maintain a low cost of attendance for students</w:t>
      </w:r>
    </w:p>
    <w:p w:rsidR="005559B9" w:rsidRPr="002151E7" w:rsidRDefault="005559B9" w:rsidP="005559B9">
      <w:pPr>
        <w:ind w:left="2160" w:hanging="2160"/>
        <w:rPr>
          <w:rFonts w:eastAsiaTheme="minorHAnsi"/>
          <w:b/>
        </w:rPr>
      </w:pPr>
    </w:p>
    <w:p w:rsidR="005559B9" w:rsidRPr="002151E7" w:rsidRDefault="005559B9" w:rsidP="005559B9">
      <w:pPr>
        <w:ind w:left="2160" w:hanging="2160"/>
        <w:rPr>
          <w:rFonts w:eastAsiaTheme="minorHAnsi"/>
          <w:b/>
        </w:rPr>
      </w:pPr>
      <w:r w:rsidRPr="002151E7">
        <w:rPr>
          <w:b/>
        </w:rPr>
        <w:t>Presented By:</w:t>
      </w:r>
      <w:r w:rsidRPr="002151E7">
        <w:rPr>
          <w:b/>
        </w:rPr>
        <w:tab/>
        <w:t xml:space="preserve">Dr. David </w:t>
      </w:r>
      <w:proofErr w:type="spellStart"/>
      <w:r w:rsidRPr="002151E7">
        <w:rPr>
          <w:b/>
        </w:rPr>
        <w:t>Hellmich</w:t>
      </w:r>
      <w:proofErr w:type="spellEnd"/>
      <w:r w:rsidRPr="002151E7">
        <w:rPr>
          <w:b/>
        </w:rPr>
        <w:t xml:space="preserve"> and Melissa Dye</w:t>
      </w:r>
    </w:p>
    <w:p w:rsidR="005559B9" w:rsidRPr="002151E7" w:rsidRDefault="005559B9" w:rsidP="005559B9">
      <w:pPr>
        <w:rPr>
          <w:b/>
        </w:rPr>
      </w:pPr>
    </w:p>
    <w:p w:rsidR="005559B9" w:rsidRPr="002151E7" w:rsidRDefault="005559B9" w:rsidP="005559B9">
      <w:pPr>
        <w:rPr>
          <w:b/>
        </w:rPr>
      </w:pPr>
      <w:r w:rsidRPr="002151E7">
        <w:rPr>
          <w:b/>
        </w:rPr>
        <w:t>Presentation:</w:t>
      </w:r>
      <w:r w:rsidRPr="002151E7">
        <w:rPr>
          <w:b/>
        </w:rPr>
        <w:tab/>
      </w:r>
      <w:r w:rsidRPr="002151E7">
        <w:rPr>
          <w:b/>
        </w:rPr>
        <w:tab/>
      </w:r>
    </w:p>
    <w:p w:rsidR="005559B9" w:rsidRPr="002151E7" w:rsidRDefault="005559B9" w:rsidP="005559B9">
      <w:pPr>
        <w:ind w:firstLine="720"/>
      </w:pPr>
      <w:r w:rsidRPr="002151E7">
        <w:t xml:space="preserve">Attached is the 2017-2018 </w:t>
      </w:r>
      <w:r>
        <w:t xml:space="preserve">Tentative </w:t>
      </w:r>
      <w:r w:rsidRPr="002151E7">
        <w:t>Budget f</w:t>
      </w:r>
      <w:r>
        <w:t>or a second</w:t>
      </w:r>
      <w:r w:rsidRPr="002151E7">
        <w:t xml:space="preserve"> reading.  </w:t>
      </w:r>
      <w:r>
        <w:t>This budget will be</w:t>
      </w:r>
      <w:r w:rsidRPr="002151E7">
        <w:t xml:space="preserve"> on public display in the Business Office, the President’s Office, and the Learning Commons for thirty days.  The public hearing and final action of the College’s budget </w:t>
      </w:r>
      <w:r>
        <w:t xml:space="preserve">will take place </w:t>
      </w:r>
      <w:r w:rsidRPr="002151E7">
        <w:t xml:space="preserve">at </w:t>
      </w:r>
      <w:r>
        <w:t>the August Board Meeting</w:t>
      </w:r>
      <w:r w:rsidRPr="002151E7">
        <w:t>.</w:t>
      </w:r>
    </w:p>
    <w:p w:rsidR="005559B9" w:rsidRPr="002151E7" w:rsidRDefault="005559B9" w:rsidP="005559B9">
      <w:pPr>
        <w:ind w:firstLine="720"/>
      </w:pPr>
      <w:r w:rsidRPr="002151E7">
        <w:t xml:space="preserve">Since the June Board meeting, the State has approved a budget that will bring in an additional $879,577 in revenue to the College for FY 2018 (see detail below). </w:t>
      </w:r>
    </w:p>
    <w:p w:rsidR="005559B9" w:rsidRPr="002151E7" w:rsidRDefault="005559B9" w:rsidP="005559B9">
      <w:r w:rsidRPr="002151E7">
        <w:t xml:space="preserve"> 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4166"/>
        <w:gridCol w:w="1686"/>
        <w:gridCol w:w="1708"/>
        <w:gridCol w:w="1800"/>
      </w:tblGrid>
      <w:tr w:rsidR="005559B9" w:rsidRPr="002151E7" w:rsidTr="00F24FE9">
        <w:trPr>
          <w:trHeight w:val="315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rPr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center"/>
              <w:rPr>
                <w:color w:val="000000"/>
                <w:u w:val="single"/>
              </w:rPr>
            </w:pPr>
            <w:r w:rsidRPr="002151E7">
              <w:rPr>
                <w:color w:val="000000"/>
                <w:u w:val="single"/>
              </w:rPr>
              <w:t>Tentative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A4149A" w:rsidRDefault="005559B9" w:rsidP="00F24FE9">
            <w:pPr>
              <w:jc w:val="center"/>
              <w:rPr>
                <w:u w:val="single"/>
              </w:rPr>
            </w:pPr>
            <w:r w:rsidRPr="00A4149A">
              <w:rPr>
                <w:u w:val="single"/>
              </w:rPr>
              <w:t>New Tentative</w:t>
            </w:r>
          </w:p>
        </w:tc>
      </w:tr>
      <w:tr w:rsidR="005559B9" w:rsidRPr="002151E7" w:rsidTr="00F24FE9">
        <w:trPr>
          <w:trHeight w:val="315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rPr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center"/>
              <w:rPr>
                <w:color w:val="000000"/>
                <w:u w:val="single"/>
              </w:rPr>
            </w:pPr>
            <w:r w:rsidRPr="002151E7">
              <w:rPr>
                <w:color w:val="000000"/>
                <w:u w:val="single"/>
              </w:rPr>
              <w:t>Budget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center"/>
              <w:rPr>
                <w:color w:val="000000"/>
                <w:u w:val="single"/>
              </w:rPr>
            </w:pPr>
            <w:r w:rsidRPr="002151E7">
              <w:rPr>
                <w:color w:val="000000"/>
                <w:u w:val="single"/>
              </w:rPr>
              <w:t>Changes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center"/>
              <w:rPr>
                <w:color w:val="000000"/>
                <w:u w:val="single"/>
              </w:rPr>
            </w:pPr>
            <w:r w:rsidRPr="002151E7">
              <w:rPr>
                <w:color w:val="000000"/>
                <w:u w:val="single"/>
              </w:rPr>
              <w:t>Final Budget</w:t>
            </w:r>
          </w:p>
        </w:tc>
      </w:tr>
      <w:tr w:rsidR="005559B9" w:rsidRPr="002151E7" w:rsidTr="00F24FE9">
        <w:trPr>
          <w:trHeight w:val="315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rPr>
                <w:color w:val="000000"/>
              </w:rPr>
            </w:pPr>
            <w:r w:rsidRPr="002151E7">
              <w:rPr>
                <w:color w:val="000000"/>
              </w:rPr>
              <w:t>Base Operating Grant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center"/>
              <w:rPr>
                <w:color w:val="000000"/>
              </w:rPr>
            </w:pPr>
            <w:r w:rsidRPr="002151E7">
              <w:rPr>
                <w:color w:val="000000"/>
              </w:rPr>
              <w:t>525,873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center"/>
              <w:rPr>
                <w:color w:val="000000"/>
              </w:rPr>
            </w:pPr>
            <w:r w:rsidRPr="002151E7">
              <w:rPr>
                <w:color w:val="000000"/>
              </w:rPr>
              <w:t>596,917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center"/>
              <w:rPr>
                <w:color w:val="000000"/>
              </w:rPr>
            </w:pPr>
            <w:r w:rsidRPr="002151E7">
              <w:rPr>
                <w:color w:val="000000"/>
              </w:rPr>
              <w:t>1,122,790</w:t>
            </w:r>
          </w:p>
        </w:tc>
      </w:tr>
      <w:tr w:rsidR="005559B9" w:rsidRPr="002151E7" w:rsidTr="00F24FE9">
        <w:trPr>
          <w:trHeight w:val="315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rPr>
                <w:color w:val="000000"/>
              </w:rPr>
            </w:pPr>
            <w:r w:rsidRPr="002151E7">
              <w:rPr>
                <w:color w:val="000000"/>
              </w:rPr>
              <w:t>Small College Grant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center"/>
              <w:rPr>
                <w:color w:val="000000"/>
              </w:rPr>
            </w:pPr>
            <w:r w:rsidRPr="002151E7">
              <w:rPr>
                <w:color w:val="000000"/>
              </w:rPr>
              <w:t>-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center"/>
              <w:rPr>
                <w:color w:val="000000"/>
              </w:rPr>
            </w:pPr>
            <w:r w:rsidRPr="002151E7">
              <w:rPr>
                <w:color w:val="000000"/>
              </w:rPr>
              <w:t>38,400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center"/>
              <w:rPr>
                <w:color w:val="000000"/>
              </w:rPr>
            </w:pPr>
            <w:r w:rsidRPr="002151E7">
              <w:rPr>
                <w:color w:val="000000"/>
              </w:rPr>
              <w:t>38,400</w:t>
            </w:r>
          </w:p>
        </w:tc>
      </w:tr>
      <w:tr w:rsidR="005559B9" w:rsidRPr="002151E7" w:rsidTr="00F24FE9">
        <w:trPr>
          <w:trHeight w:val="315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rPr>
                <w:color w:val="000000"/>
              </w:rPr>
            </w:pPr>
            <w:r w:rsidRPr="002151E7">
              <w:rPr>
                <w:color w:val="000000"/>
              </w:rPr>
              <w:t>Equalization Grant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center"/>
              <w:rPr>
                <w:color w:val="000000"/>
              </w:rPr>
            </w:pPr>
            <w:r w:rsidRPr="002151E7">
              <w:rPr>
                <w:color w:val="000000"/>
              </w:rPr>
              <w:t>-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center"/>
              <w:rPr>
                <w:color w:val="000000"/>
              </w:rPr>
            </w:pPr>
            <w:r w:rsidRPr="002151E7">
              <w:rPr>
                <w:color w:val="000000"/>
              </w:rPr>
              <w:t>244,260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center"/>
              <w:rPr>
                <w:color w:val="000000"/>
              </w:rPr>
            </w:pPr>
            <w:r w:rsidRPr="002151E7">
              <w:rPr>
                <w:color w:val="000000"/>
              </w:rPr>
              <w:t>244,260</w:t>
            </w:r>
          </w:p>
        </w:tc>
      </w:tr>
      <w:tr w:rsidR="005559B9" w:rsidRPr="002151E7" w:rsidTr="00F24FE9">
        <w:trPr>
          <w:trHeight w:val="315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rPr>
                <w:color w:val="000000"/>
              </w:rPr>
            </w:pPr>
            <w:r w:rsidRPr="002151E7">
              <w:rPr>
                <w:color w:val="000000"/>
              </w:rPr>
              <w:t>Total: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center"/>
              <w:rPr>
                <w:color w:val="000000"/>
              </w:rPr>
            </w:pPr>
            <w:r w:rsidRPr="002151E7">
              <w:rPr>
                <w:color w:val="000000"/>
              </w:rPr>
              <w:t>525,873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center"/>
              <w:rPr>
                <w:color w:val="000000"/>
              </w:rPr>
            </w:pPr>
            <w:r w:rsidRPr="002151E7">
              <w:rPr>
                <w:color w:val="000000"/>
              </w:rPr>
              <w:t>879,577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center"/>
              <w:rPr>
                <w:color w:val="000000"/>
              </w:rPr>
            </w:pPr>
            <w:r w:rsidRPr="002151E7">
              <w:rPr>
                <w:color w:val="000000"/>
              </w:rPr>
              <w:t>1,405,450</w:t>
            </w:r>
          </w:p>
        </w:tc>
      </w:tr>
    </w:tbl>
    <w:p w:rsidR="005559B9" w:rsidRPr="002151E7" w:rsidRDefault="005559B9" w:rsidP="005559B9"/>
    <w:p w:rsidR="005559B9" w:rsidRPr="002151E7" w:rsidRDefault="005559B9" w:rsidP="005559B9">
      <w:pPr>
        <w:ind w:firstLine="720"/>
      </w:pPr>
      <w:r w:rsidRPr="002151E7">
        <w:t xml:space="preserve">Additionally, a total of $22,023 in expense adjustments </w:t>
      </w:r>
      <w:proofErr w:type="gramStart"/>
      <w:r w:rsidRPr="002151E7">
        <w:t>are reflected</w:t>
      </w:r>
      <w:proofErr w:type="gramEnd"/>
      <w:r w:rsidRPr="002151E7">
        <w:t xml:space="preserve"> in the budget as follows:</w:t>
      </w:r>
    </w:p>
    <w:tbl>
      <w:tblPr>
        <w:tblW w:w="9068" w:type="dxa"/>
        <w:tblInd w:w="93" w:type="dxa"/>
        <w:tblLook w:val="04A0" w:firstRow="1" w:lastRow="0" w:firstColumn="1" w:lastColumn="0" w:noHBand="0" w:noVBand="1"/>
      </w:tblPr>
      <w:tblGrid>
        <w:gridCol w:w="4155"/>
        <w:gridCol w:w="1637"/>
        <w:gridCol w:w="1638"/>
        <w:gridCol w:w="1638"/>
      </w:tblGrid>
      <w:tr w:rsidR="005559B9" w:rsidRPr="002151E7" w:rsidTr="00F24FE9">
        <w:trPr>
          <w:trHeight w:val="40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/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9B9" w:rsidRPr="002151E7" w:rsidRDefault="005559B9" w:rsidP="00F24FE9">
            <w:pPr>
              <w:jc w:val="center"/>
              <w:rPr>
                <w:color w:val="000000"/>
                <w:u w:val="single"/>
              </w:rPr>
            </w:pPr>
            <w:r w:rsidRPr="002151E7">
              <w:rPr>
                <w:color w:val="000000"/>
                <w:u w:val="single"/>
              </w:rPr>
              <w:t>Tentative Budget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9B9" w:rsidRPr="002151E7" w:rsidRDefault="005559B9" w:rsidP="00F24FE9">
            <w:pPr>
              <w:jc w:val="center"/>
              <w:rPr>
                <w:color w:val="000000"/>
                <w:u w:val="single"/>
              </w:rPr>
            </w:pPr>
            <w:r w:rsidRPr="002151E7">
              <w:rPr>
                <w:color w:val="000000"/>
                <w:u w:val="single"/>
              </w:rPr>
              <w:t>Changes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9B9" w:rsidRDefault="005559B9" w:rsidP="00F24FE9">
            <w:pPr>
              <w:jc w:val="center"/>
              <w:rPr>
                <w:color w:val="000000"/>
                <w:u w:val="single"/>
              </w:rPr>
            </w:pPr>
            <w:r w:rsidRPr="00A4149A">
              <w:rPr>
                <w:u w:val="single"/>
              </w:rPr>
              <w:t>New Tentative</w:t>
            </w:r>
          </w:p>
          <w:p w:rsidR="005559B9" w:rsidRPr="002151E7" w:rsidRDefault="005559B9" w:rsidP="00F24FE9">
            <w:pPr>
              <w:jc w:val="center"/>
              <w:rPr>
                <w:color w:val="000000"/>
                <w:u w:val="single"/>
              </w:rPr>
            </w:pPr>
            <w:r w:rsidRPr="002151E7">
              <w:rPr>
                <w:color w:val="000000"/>
                <w:u w:val="single"/>
              </w:rPr>
              <w:t>Final Budget</w:t>
            </w:r>
          </w:p>
        </w:tc>
      </w:tr>
      <w:tr w:rsidR="005559B9" w:rsidRPr="002151E7" w:rsidTr="00F24FE9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r w:rsidRPr="002151E7">
              <w:t>By Program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right"/>
              <w:rPr>
                <w:color w:val="00000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right"/>
              <w:rPr>
                <w:color w:val="00000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right"/>
            </w:pPr>
          </w:p>
        </w:tc>
      </w:tr>
      <w:tr w:rsidR="005559B9" w:rsidRPr="002151E7" w:rsidTr="00F24FE9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r w:rsidRPr="002151E7">
              <w:t xml:space="preserve">    Instruction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right"/>
              <w:rPr>
                <w:color w:val="000000"/>
              </w:rPr>
            </w:pPr>
            <w:r w:rsidRPr="002151E7">
              <w:rPr>
                <w:color w:val="000000"/>
              </w:rPr>
              <w:t xml:space="preserve">    4,407,336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right"/>
              <w:rPr>
                <w:color w:val="000000"/>
              </w:rPr>
            </w:pPr>
            <w:r w:rsidRPr="002151E7">
              <w:rPr>
                <w:color w:val="000000"/>
              </w:rPr>
              <w:t xml:space="preserve">     15,423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right"/>
            </w:pPr>
            <w:r w:rsidRPr="002151E7">
              <w:t xml:space="preserve">     4,422,759 </w:t>
            </w:r>
          </w:p>
        </w:tc>
      </w:tr>
      <w:tr w:rsidR="005559B9" w:rsidRPr="002151E7" w:rsidTr="00F24FE9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r w:rsidRPr="002151E7">
              <w:t xml:space="preserve">    Academic Support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right"/>
              <w:rPr>
                <w:color w:val="000000"/>
              </w:rPr>
            </w:pPr>
            <w:r w:rsidRPr="002151E7">
              <w:rPr>
                <w:color w:val="000000"/>
              </w:rPr>
              <w:t xml:space="preserve">1,228,958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right"/>
              <w:rPr>
                <w:color w:val="000000"/>
              </w:rPr>
            </w:pPr>
            <w:r w:rsidRPr="002151E7">
              <w:rPr>
                <w:color w:val="000000"/>
              </w:rPr>
              <w:t xml:space="preserve">   608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right"/>
            </w:pPr>
            <w:r w:rsidRPr="002151E7">
              <w:t xml:space="preserve">     1,229,566 </w:t>
            </w:r>
          </w:p>
        </w:tc>
      </w:tr>
      <w:tr w:rsidR="005559B9" w:rsidRPr="002151E7" w:rsidTr="00F24FE9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r w:rsidRPr="002151E7">
              <w:t xml:space="preserve">    Operation &amp; Maintenance of Plant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right"/>
              <w:rPr>
                <w:color w:val="000000"/>
              </w:rPr>
            </w:pPr>
            <w:r w:rsidRPr="002151E7">
              <w:rPr>
                <w:color w:val="000000"/>
              </w:rPr>
              <w:t xml:space="preserve">    1,299,028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right"/>
              <w:rPr>
                <w:color w:val="000000"/>
              </w:rPr>
            </w:pPr>
            <w:r w:rsidRPr="002151E7">
              <w:rPr>
                <w:color w:val="000000"/>
              </w:rPr>
              <w:t xml:space="preserve">   2,000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right"/>
            </w:pPr>
            <w:r w:rsidRPr="002151E7">
              <w:t xml:space="preserve">     1,301,028 </w:t>
            </w:r>
          </w:p>
        </w:tc>
      </w:tr>
      <w:tr w:rsidR="005559B9" w:rsidRPr="002151E7" w:rsidTr="00F24FE9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r w:rsidRPr="002151E7">
              <w:t xml:space="preserve">    Institutional Support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right"/>
              <w:rPr>
                <w:color w:val="000000"/>
              </w:rPr>
            </w:pPr>
            <w:r w:rsidRPr="002151E7">
              <w:rPr>
                <w:color w:val="000000"/>
              </w:rPr>
              <w:t xml:space="preserve">    2,118,800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right"/>
              <w:rPr>
                <w:color w:val="000000"/>
              </w:rPr>
            </w:pPr>
            <w:r w:rsidRPr="002151E7">
              <w:rPr>
                <w:color w:val="000000"/>
              </w:rPr>
              <w:t>3,992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right"/>
            </w:pPr>
            <w:r w:rsidRPr="002151E7">
              <w:t xml:space="preserve">     2,122,792 </w:t>
            </w:r>
          </w:p>
        </w:tc>
      </w:tr>
      <w:tr w:rsidR="005559B9" w:rsidRPr="002151E7" w:rsidTr="00F24FE9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r w:rsidRPr="002151E7">
              <w:t>By Object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right"/>
              <w:rPr>
                <w:color w:val="00000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right"/>
              <w:rPr>
                <w:color w:val="00000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right"/>
            </w:pPr>
          </w:p>
        </w:tc>
      </w:tr>
      <w:tr w:rsidR="005559B9" w:rsidRPr="002151E7" w:rsidTr="00F24FE9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r w:rsidRPr="002151E7">
              <w:t xml:space="preserve">    Salaries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right"/>
              <w:rPr>
                <w:color w:val="000000"/>
              </w:rPr>
            </w:pPr>
            <w:r w:rsidRPr="002151E7">
              <w:t xml:space="preserve">7,205,662    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right"/>
              <w:rPr>
                <w:color w:val="000000"/>
              </w:rPr>
            </w:pPr>
            <w:r w:rsidRPr="002151E7">
              <w:rPr>
                <w:color w:val="000000"/>
              </w:rPr>
              <w:t>2,428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right"/>
            </w:pPr>
            <w:r w:rsidRPr="002151E7">
              <w:t>7,208,090</w:t>
            </w:r>
          </w:p>
        </w:tc>
      </w:tr>
      <w:tr w:rsidR="005559B9" w:rsidRPr="002151E7" w:rsidTr="00F24FE9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r w:rsidRPr="002151E7">
              <w:t xml:space="preserve">    Employee Benefits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right"/>
              <w:rPr>
                <w:color w:val="000000"/>
              </w:rPr>
            </w:pPr>
            <w:r w:rsidRPr="002151E7">
              <w:t>1,458,651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right"/>
              <w:rPr>
                <w:color w:val="000000"/>
              </w:rPr>
            </w:pPr>
            <w:r w:rsidRPr="002151E7">
              <w:rPr>
                <w:color w:val="000000"/>
              </w:rPr>
              <w:t>12,995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right"/>
            </w:pPr>
            <w:r w:rsidRPr="002151E7">
              <w:t>1,471,646</w:t>
            </w:r>
          </w:p>
        </w:tc>
      </w:tr>
      <w:tr w:rsidR="005559B9" w:rsidRPr="002151E7" w:rsidTr="00F24FE9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r w:rsidRPr="002151E7">
              <w:t xml:space="preserve">    Contractual Services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right"/>
              <w:rPr>
                <w:color w:val="000000"/>
              </w:rPr>
            </w:pPr>
            <w:r w:rsidRPr="002151E7">
              <w:t xml:space="preserve">719,214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right"/>
              <w:rPr>
                <w:color w:val="000000"/>
              </w:rPr>
            </w:pPr>
            <w:r w:rsidRPr="002151E7">
              <w:rPr>
                <w:color w:val="000000"/>
              </w:rPr>
              <w:t xml:space="preserve">    2,900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right"/>
            </w:pPr>
            <w:r w:rsidRPr="002151E7">
              <w:t xml:space="preserve">     722,114 </w:t>
            </w:r>
          </w:p>
        </w:tc>
      </w:tr>
      <w:tr w:rsidR="005559B9" w:rsidRPr="002151E7" w:rsidTr="00F24FE9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r w:rsidRPr="002151E7">
              <w:t xml:space="preserve">    General Materials &amp; Supplies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right"/>
            </w:pPr>
            <w:r w:rsidRPr="002151E7">
              <w:t xml:space="preserve">586,709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right"/>
              <w:rPr>
                <w:color w:val="000000"/>
              </w:rPr>
            </w:pPr>
            <w:r w:rsidRPr="002151E7">
              <w:rPr>
                <w:color w:val="000000"/>
              </w:rPr>
              <w:t xml:space="preserve">     3,700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B9" w:rsidRPr="002151E7" w:rsidRDefault="005559B9" w:rsidP="00F24FE9">
            <w:pPr>
              <w:jc w:val="right"/>
            </w:pPr>
            <w:r w:rsidRPr="002151E7">
              <w:t xml:space="preserve">        590,409</w:t>
            </w:r>
          </w:p>
        </w:tc>
      </w:tr>
    </w:tbl>
    <w:p w:rsidR="005559B9" w:rsidRPr="002151E7" w:rsidRDefault="005559B9" w:rsidP="005559B9">
      <w:pPr>
        <w:rPr>
          <w:color w:val="000000"/>
        </w:rPr>
      </w:pPr>
    </w:p>
    <w:p w:rsidR="005559B9" w:rsidRPr="002151E7" w:rsidRDefault="005559B9" w:rsidP="005559B9">
      <w:pPr>
        <w:ind w:firstLine="720"/>
        <w:rPr>
          <w:u w:val="double"/>
        </w:rPr>
      </w:pPr>
      <w:proofErr w:type="gramStart"/>
      <w:r w:rsidRPr="002151E7">
        <w:rPr>
          <w:color w:val="000000"/>
        </w:rPr>
        <w:t>As a result</w:t>
      </w:r>
      <w:proofErr w:type="gramEnd"/>
      <w:r w:rsidRPr="002151E7">
        <w:rPr>
          <w:color w:val="000000"/>
        </w:rPr>
        <w:t xml:space="preserve"> of these changes, the final net operating budget increased to a total of </w:t>
      </w:r>
      <w:r w:rsidRPr="002151E7">
        <w:rPr>
          <w:color w:val="000000"/>
        </w:rPr>
        <w:lastRenderedPageBreak/>
        <w:t>$523,829 from the tentative net budget of $0.</w:t>
      </w:r>
    </w:p>
    <w:p w:rsidR="005559B9" w:rsidRPr="009D1B74" w:rsidRDefault="005559B9" w:rsidP="005559B9">
      <w:pPr>
        <w:ind w:firstLine="720"/>
        <w:rPr>
          <w:u w:val="double"/>
        </w:rPr>
      </w:pPr>
      <w:r w:rsidRPr="009D1B74">
        <w:t xml:space="preserve">Total state funding budgeted for FY18 is $1,537,012. </w:t>
      </w:r>
    </w:p>
    <w:p w:rsidR="005559B9" w:rsidRPr="009D1B74" w:rsidRDefault="005559B9" w:rsidP="005559B9">
      <w:pPr>
        <w:ind w:firstLine="720"/>
      </w:pPr>
    </w:p>
    <w:p w:rsidR="005559B9" w:rsidRPr="00D84925" w:rsidRDefault="005559B9" w:rsidP="005559B9">
      <w:pPr>
        <w:ind w:firstLine="720"/>
      </w:pPr>
      <w:r w:rsidRPr="00D84925">
        <w:t>Prior to this budget is an attachment giving a Fund 1 &amp; 2 overview with the following highlights:</w:t>
      </w:r>
    </w:p>
    <w:p w:rsidR="005559B9" w:rsidRPr="00D84925" w:rsidRDefault="005559B9" w:rsidP="005559B9">
      <w:pPr>
        <w:pStyle w:val="ListParagraph"/>
        <w:widowControl/>
        <w:numPr>
          <w:ilvl w:val="0"/>
          <w:numId w:val="4"/>
        </w:numPr>
        <w:contextualSpacing w:val="0"/>
      </w:pPr>
      <w:r w:rsidRPr="00D84925">
        <w:t>State Governmental Sources (State funding, which reflects the recently passed State budget) is $2,324,230 in the 2016-2017 Projection (an increase of $1,666,796 over the previous funding of $657,434) and $1,537,012 in the 2017-2018 Budget (an increase of $879,577 over the previously anticipated 2017-2018 funding – this amount has been reduced from the 2016-2017 amount by 10% and due to enrollment decreases).</w:t>
      </w:r>
    </w:p>
    <w:p w:rsidR="005559B9" w:rsidRPr="00D84925" w:rsidRDefault="005559B9" w:rsidP="005559B9">
      <w:pPr>
        <w:pStyle w:val="ListParagraph"/>
        <w:widowControl/>
        <w:numPr>
          <w:ilvl w:val="0"/>
          <w:numId w:val="4"/>
        </w:numPr>
        <w:contextualSpacing w:val="0"/>
      </w:pPr>
      <w:r w:rsidRPr="00D84925">
        <w:t xml:space="preserve">For the 2017-2018 Budget, Student Tuition and Fees assumes a 5% decrease in paid enrollment and reflects a $12 rate increase. </w:t>
      </w:r>
    </w:p>
    <w:p w:rsidR="005559B9" w:rsidRPr="00D84925" w:rsidRDefault="005559B9" w:rsidP="005559B9">
      <w:pPr>
        <w:pStyle w:val="ListParagraph"/>
        <w:widowControl/>
        <w:numPr>
          <w:ilvl w:val="0"/>
          <w:numId w:val="4"/>
        </w:numPr>
        <w:contextualSpacing w:val="0"/>
      </w:pPr>
      <w:r w:rsidRPr="00D84925">
        <w:t xml:space="preserve">For the 2017-2018 Budget, Transfer from Working Cash is no longer </w:t>
      </w:r>
      <w:r>
        <w:t>included</w:t>
      </w:r>
      <w:r w:rsidRPr="00D84925">
        <w:t>.</w:t>
      </w:r>
    </w:p>
    <w:p w:rsidR="005559B9" w:rsidRPr="00D84925" w:rsidRDefault="005559B9" w:rsidP="005559B9">
      <w:pPr>
        <w:pStyle w:val="ListParagraph"/>
        <w:widowControl/>
        <w:numPr>
          <w:ilvl w:val="0"/>
          <w:numId w:val="4"/>
        </w:numPr>
        <w:contextualSpacing w:val="0"/>
      </w:pPr>
      <w:r w:rsidRPr="00D84925">
        <w:t xml:space="preserve">FT Salaries </w:t>
      </w:r>
      <w:proofErr w:type="gramStart"/>
      <w:r w:rsidRPr="00D84925">
        <w:t xml:space="preserve">are </w:t>
      </w:r>
      <w:r>
        <w:t>projected</w:t>
      </w:r>
      <w:proofErr w:type="gramEnd"/>
      <w:r>
        <w:t xml:space="preserve"> to be reduced $341,526</w:t>
      </w:r>
      <w:r w:rsidRPr="00D84925">
        <w:t xml:space="preserve"> in 2017-2018.</w:t>
      </w:r>
    </w:p>
    <w:p w:rsidR="005559B9" w:rsidRPr="00D84925" w:rsidRDefault="005559B9" w:rsidP="005559B9">
      <w:pPr>
        <w:pStyle w:val="ListParagraph"/>
        <w:widowControl/>
        <w:numPr>
          <w:ilvl w:val="0"/>
          <w:numId w:val="4"/>
        </w:numPr>
        <w:contextualSpacing w:val="0"/>
      </w:pPr>
      <w:r w:rsidRPr="00D84925">
        <w:t>Insurance (Medical, Dental, Life &amp; Flex) is projected to increase $20,091</w:t>
      </w:r>
      <w:r>
        <w:t xml:space="preserve"> in 2017-2018; last month’s projection was an increase of $7,890.</w:t>
      </w:r>
    </w:p>
    <w:p w:rsidR="005559B9" w:rsidRPr="00D84925" w:rsidRDefault="005559B9" w:rsidP="005559B9">
      <w:pPr>
        <w:pStyle w:val="ListParagraph"/>
        <w:widowControl/>
        <w:numPr>
          <w:ilvl w:val="0"/>
          <w:numId w:val="4"/>
        </w:numPr>
        <w:contextualSpacing w:val="0"/>
      </w:pPr>
      <w:r w:rsidRPr="00D84925">
        <w:t>The 2016-2017 Projection had shown a deficit of $1,132,001.  It now shows an anticipated balance of $531,428.</w:t>
      </w:r>
    </w:p>
    <w:p w:rsidR="005559B9" w:rsidRPr="00D84925" w:rsidRDefault="005559B9" w:rsidP="005559B9">
      <w:pPr>
        <w:pStyle w:val="ListParagraph"/>
        <w:widowControl/>
        <w:numPr>
          <w:ilvl w:val="0"/>
          <w:numId w:val="4"/>
        </w:numPr>
        <w:contextualSpacing w:val="0"/>
      </w:pPr>
      <w:r w:rsidRPr="00D84925">
        <w:t>The 2016-2017 Projection had shown a 34.85% ($5,324,823) Fund Balance.  It now shows an anticipated 45.73% ($6,988,252) Fund Balance.</w:t>
      </w:r>
    </w:p>
    <w:p w:rsidR="005559B9" w:rsidRPr="00D84925" w:rsidRDefault="005559B9" w:rsidP="005559B9">
      <w:pPr>
        <w:pStyle w:val="ListParagraph"/>
        <w:widowControl/>
        <w:numPr>
          <w:ilvl w:val="0"/>
          <w:numId w:val="4"/>
        </w:numPr>
        <w:contextualSpacing w:val="0"/>
      </w:pPr>
      <w:r w:rsidRPr="00D84925">
        <w:t xml:space="preserve">The 2017-2018 Budget </w:t>
      </w:r>
      <w:proofErr w:type="gramStart"/>
      <w:r w:rsidRPr="00D84925">
        <w:t>had been balanced</w:t>
      </w:r>
      <w:proofErr w:type="gramEnd"/>
      <w:r w:rsidRPr="00D84925">
        <w:t xml:space="preserve"> with the assistance of a one-time $303,725 transfer from working cash.  It now shows an </w:t>
      </w:r>
      <w:r>
        <w:t>anticipated balance of $523,829 with no transfer from working cash.</w:t>
      </w:r>
    </w:p>
    <w:p w:rsidR="005559B9" w:rsidRPr="00D84925" w:rsidRDefault="005559B9" w:rsidP="005559B9">
      <w:pPr>
        <w:pStyle w:val="ListParagraph"/>
        <w:widowControl/>
        <w:numPr>
          <w:ilvl w:val="0"/>
          <w:numId w:val="4"/>
        </w:numPr>
        <w:contextualSpacing w:val="0"/>
      </w:pPr>
      <w:r w:rsidRPr="00D84925">
        <w:t>The 2017-2018 Budget had shown a 35.09% ($5,324,823) Fund Balance.  It now shows an anticipated 49.44% ($7,512,081) Fund Balance.</w:t>
      </w:r>
    </w:p>
    <w:p w:rsidR="005559B9" w:rsidRPr="002151E7" w:rsidRDefault="005559B9" w:rsidP="005559B9">
      <w:pPr>
        <w:rPr>
          <w:b/>
        </w:rPr>
      </w:pPr>
    </w:p>
    <w:p w:rsidR="005559B9" w:rsidRPr="002151E7" w:rsidRDefault="005559B9" w:rsidP="005559B9">
      <w:pPr>
        <w:rPr>
          <w:b/>
        </w:rPr>
      </w:pPr>
      <w:r w:rsidRPr="002151E7">
        <w:rPr>
          <w:b/>
        </w:rPr>
        <w:t>Recommendation:</w:t>
      </w:r>
    </w:p>
    <w:p w:rsidR="005559B9" w:rsidRPr="00EB3604" w:rsidRDefault="005559B9" w:rsidP="005559B9">
      <w:r w:rsidRPr="002151E7">
        <w:rPr>
          <w:b/>
        </w:rPr>
        <w:tab/>
      </w:r>
      <w:r w:rsidRPr="002151E7">
        <w:t xml:space="preserve">The administration recommends the Board </w:t>
      </w:r>
      <w:r>
        <w:t>approve the 2017-</w:t>
      </w:r>
      <w:r w:rsidRPr="002151E7">
        <w:t xml:space="preserve">2018 </w:t>
      </w:r>
      <w:r>
        <w:t xml:space="preserve">Tentative </w:t>
      </w:r>
      <w:r w:rsidRPr="002151E7">
        <w:t xml:space="preserve">Budget </w:t>
      </w:r>
      <w:r>
        <w:t xml:space="preserve">for a second reading </w:t>
      </w:r>
      <w:r w:rsidRPr="002151E7">
        <w:t>as presented.</w:t>
      </w:r>
      <w:r w:rsidRPr="00EB3604">
        <w:t xml:space="preserve"> </w:t>
      </w:r>
    </w:p>
    <w:p w:rsidR="005559B9" w:rsidRPr="00392C84" w:rsidRDefault="005559B9" w:rsidP="005559B9"/>
    <w:p w:rsidR="00F02ECD" w:rsidRPr="005559B9" w:rsidRDefault="00F02ECD" w:rsidP="005559B9">
      <w:pPr>
        <w:spacing w:after="160" w:line="259" w:lineRule="auto"/>
        <w:rPr>
          <w:b/>
        </w:rPr>
      </w:pPr>
      <w:bookmarkStart w:id="0" w:name="_GoBack"/>
      <w:bookmarkEnd w:id="0"/>
    </w:p>
    <w:sectPr w:rsidR="00F02ECD" w:rsidRPr="005559B9" w:rsidSect="00E40CB1">
      <w:endnotePr>
        <w:numFmt w:val="decimal"/>
      </w:endnotePr>
      <w:pgSz w:w="12240" w:h="15840" w:code="1"/>
      <w:pgMar w:top="1440" w:right="1440" w:bottom="1440" w:left="1440" w:header="144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4089D"/>
    <w:multiLevelType w:val="hybridMultilevel"/>
    <w:tmpl w:val="5A6EB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0455A"/>
    <w:multiLevelType w:val="hybridMultilevel"/>
    <w:tmpl w:val="BEFC4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F0180F"/>
    <w:multiLevelType w:val="hybridMultilevel"/>
    <w:tmpl w:val="56BE1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63710F"/>
    <w:multiLevelType w:val="hybridMultilevel"/>
    <w:tmpl w:val="2A266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CC"/>
    <w:rsid w:val="00001927"/>
    <w:rsid w:val="00004939"/>
    <w:rsid w:val="0000505D"/>
    <w:rsid w:val="00012F6B"/>
    <w:rsid w:val="000514F3"/>
    <w:rsid w:val="0006084B"/>
    <w:rsid w:val="00063FB4"/>
    <w:rsid w:val="00086958"/>
    <w:rsid w:val="0009109D"/>
    <w:rsid w:val="000B0FC8"/>
    <w:rsid w:val="000D3E63"/>
    <w:rsid w:val="000F2322"/>
    <w:rsid w:val="001016AC"/>
    <w:rsid w:val="00110556"/>
    <w:rsid w:val="001237FF"/>
    <w:rsid w:val="0013565A"/>
    <w:rsid w:val="00167C9D"/>
    <w:rsid w:val="00170E6F"/>
    <w:rsid w:val="00171682"/>
    <w:rsid w:val="00186F24"/>
    <w:rsid w:val="001874B3"/>
    <w:rsid w:val="00192A2F"/>
    <w:rsid w:val="001A261C"/>
    <w:rsid w:val="001B2A33"/>
    <w:rsid w:val="001C1D7C"/>
    <w:rsid w:val="001D0ADE"/>
    <w:rsid w:val="001D2DD7"/>
    <w:rsid w:val="001D6C71"/>
    <w:rsid w:val="001E0D22"/>
    <w:rsid w:val="001F4D08"/>
    <w:rsid w:val="002174AA"/>
    <w:rsid w:val="00217C26"/>
    <w:rsid w:val="00221C2E"/>
    <w:rsid w:val="00235948"/>
    <w:rsid w:val="00242160"/>
    <w:rsid w:val="0024272D"/>
    <w:rsid w:val="00270E61"/>
    <w:rsid w:val="002802A8"/>
    <w:rsid w:val="002805CD"/>
    <w:rsid w:val="00283746"/>
    <w:rsid w:val="00285EE3"/>
    <w:rsid w:val="0029554E"/>
    <w:rsid w:val="002A1146"/>
    <w:rsid w:val="002A7C4A"/>
    <w:rsid w:val="002B5246"/>
    <w:rsid w:val="002D2208"/>
    <w:rsid w:val="002D25D3"/>
    <w:rsid w:val="002E2EE0"/>
    <w:rsid w:val="002E7939"/>
    <w:rsid w:val="002F3744"/>
    <w:rsid w:val="002F3DD4"/>
    <w:rsid w:val="002F684B"/>
    <w:rsid w:val="003067A9"/>
    <w:rsid w:val="00317349"/>
    <w:rsid w:val="003418B2"/>
    <w:rsid w:val="0034250D"/>
    <w:rsid w:val="00350143"/>
    <w:rsid w:val="003633DF"/>
    <w:rsid w:val="00370B13"/>
    <w:rsid w:val="00381571"/>
    <w:rsid w:val="00391256"/>
    <w:rsid w:val="003A791A"/>
    <w:rsid w:val="003B24C3"/>
    <w:rsid w:val="003B7DC2"/>
    <w:rsid w:val="003C6429"/>
    <w:rsid w:val="003E44D7"/>
    <w:rsid w:val="003E7D98"/>
    <w:rsid w:val="00413DC7"/>
    <w:rsid w:val="00420176"/>
    <w:rsid w:val="00433321"/>
    <w:rsid w:val="00436EFD"/>
    <w:rsid w:val="00443A9E"/>
    <w:rsid w:val="004457FD"/>
    <w:rsid w:val="00451F75"/>
    <w:rsid w:val="00467711"/>
    <w:rsid w:val="00470F40"/>
    <w:rsid w:val="0047109B"/>
    <w:rsid w:val="00472FAB"/>
    <w:rsid w:val="0047635C"/>
    <w:rsid w:val="004822E7"/>
    <w:rsid w:val="004C0328"/>
    <w:rsid w:val="004D228A"/>
    <w:rsid w:val="0051507B"/>
    <w:rsid w:val="00516858"/>
    <w:rsid w:val="005211DD"/>
    <w:rsid w:val="00526937"/>
    <w:rsid w:val="005350FF"/>
    <w:rsid w:val="00536921"/>
    <w:rsid w:val="005479DE"/>
    <w:rsid w:val="005559B9"/>
    <w:rsid w:val="0056627E"/>
    <w:rsid w:val="005B7E03"/>
    <w:rsid w:val="005D0D18"/>
    <w:rsid w:val="005E2550"/>
    <w:rsid w:val="006114AE"/>
    <w:rsid w:val="0063320C"/>
    <w:rsid w:val="00660622"/>
    <w:rsid w:val="00673488"/>
    <w:rsid w:val="006766D7"/>
    <w:rsid w:val="006A388E"/>
    <w:rsid w:val="006A5B3A"/>
    <w:rsid w:val="006B30F4"/>
    <w:rsid w:val="006B4FFC"/>
    <w:rsid w:val="006F752B"/>
    <w:rsid w:val="00712DB5"/>
    <w:rsid w:val="00730BC3"/>
    <w:rsid w:val="00756A27"/>
    <w:rsid w:val="00762A2F"/>
    <w:rsid w:val="0077561B"/>
    <w:rsid w:val="00784C5A"/>
    <w:rsid w:val="007B7998"/>
    <w:rsid w:val="007C0390"/>
    <w:rsid w:val="007C2E78"/>
    <w:rsid w:val="007D5AEE"/>
    <w:rsid w:val="007D692C"/>
    <w:rsid w:val="00800CDB"/>
    <w:rsid w:val="00814DB4"/>
    <w:rsid w:val="00817A39"/>
    <w:rsid w:val="0082162F"/>
    <w:rsid w:val="00821CC7"/>
    <w:rsid w:val="0083064A"/>
    <w:rsid w:val="008316DC"/>
    <w:rsid w:val="00832FB1"/>
    <w:rsid w:val="0083617F"/>
    <w:rsid w:val="00854F4A"/>
    <w:rsid w:val="00856919"/>
    <w:rsid w:val="00871DA8"/>
    <w:rsid w:val="0089266E"/>
    <w:rsid w:val="008A021B"/>
    <w:rsid w:val="008A7B0E"/>
    <w:rsid w:val="008B6D0F"/>
    <w:rsid w:val="008C1EF3"/>
    <w:rsid w:val="008C429E"/>
    <w:rsid w:val="008C7108"/>
    <w:rsid w:val="008E73E3"/>
    <w:rsid w:val="009048D9"/>
    <w:rsid w:val="0091578A"/>
    <w:rsid w:val="00952387"/>
    <w:rsid w:val="0096285E"/>
    <w:rsid w:val="009633BD"/>
    <w:rsid w:val="0098553F"/>
    <w:rsid w:val="0098650B"/>
    <w:rsid w:val="009909C4"/>
    <w:rsid w:val="009A15B7"/>
    <w:rsid w:val="009A1E54"/>
    <w:rsid w:val="009B2CFA"/>
    <w:rsid w:val="009C6296"/>
    <w:rsid w:val="009D39D2"/>
    <w:rsid w:val="009E1507"/>
    <w:rsid w:val="009E1EAC"/>
    <w:rsid w:val="009E4E0D"/>
    <w:rsid w:val="009F0F65"/>
    <w:rsid w:val="009F7748"/>
    <w:rsid w:val="00A1455B"/>
    <w:rsid w:val="00A24384"/>
    <w:rsid w:val="00A27557"/>
    <w:rsid w:val="00A44ADE"/>
    <w:rsid w:val="00A4628D"/>
    <w:rsid w:val="00A70F8B"/>
    <w:rsid w:val="00A73846"/>
    <w:rsid w:val="00A84631"/>
    <w:rsid w:val="00A93869"/>
    <w:rsid w:val="00AA4728"/>
    <w:rsid w:val="00AB4727"/>
    <w:rsid w:val="00AD31B1"/>
    <w:rsid w:val="00AF231D"/>
    <w:rsid w:val="00AF5EF6"/>
    <w:rsid w:val="00B02DD9"/>
    <w:rsid w:val="00B108F9"/>
    <w:rsid w:val="00B26AB9"/>
    <w:rsid w:val="00B3156E"/>
    <w:rsid w:val="00B46B08"/>
    <w:rsid w:val="00B67ADA"/>
    <w:rsid w:val="00B818A6"/>
    <w:rsid w:val="00B90ACC"/>
    <w:rsid w:val="00BD5BF8"/>
    <w:rsid w:val="00BE0EF6"/>
    <w:rsid w:val="00BE31D3"/>
    <w:rsid w:val="00BE49DA"/>
    <w:rsid w:val="00BE4D3A"/>
    <w:rsid w:val="00BE6378"/>
    <w:rsid w:val="00BE7A71"/>
    <w:rsid w:val="00C10BD2"/>
    <w:rsid w:val="00C27DF6"/>
    <w:rsid w:val="00C4618E"/>
    <w:rsid w:val="00C559B6"/>
    <w:rsid w:val="00C6524B"/>
    <w:rsid w:val="00C7425E"/>
    <w:rsid w:val="00C764BB"/>
    <w:rsid w:val="00C83191"/>
    <w:rsid w:val="00C86324"/>
    <w:rsid w:val="00C879A8"/>
    <w:rsid w:val="00C92755"/>
    <w:rsid w:val="00C955F8"/>
    <w:rsid w:val="00C96651"/>
    <w:rsid w:val="00CC4CE2"/>
    <w:rsid w:val="00CD466E"/>
    <w:rsid w:val="00D1322F"/>
    <w:rsid w:val="00D32C1C"/>
    <w:rsid w:val="00D45C85"/>
    <w:rsid w:val="00D4604B"/>
    <w:rsid w:val="00D807D5"/>
    <w:rsid w:val="00D91FC3"/>
    <w:rsid w:val="00D96218"/>
    <w:rsid w:val="00DA4D15"/>
    <w:rsid w:val="00DA7A28"/>
    <w:rsid w:val="00DB0152"/>
    <w:rsid w:val="00DB70AE"/>
    <w:rsid w:val="00DF006B"/>
    <w:rsid w:val="00DF0309"/>
    <w:rsid w:val="00E13096"/>
    <w:rsid w:val="00E16114"/>
    <w:rsid w:val="00E25573"/>
    <w:rsid w:val="00E40CB1"/>
    <w:rsid w:val="00E40FD5"/>
    <w:rsid w:val="00E414DD"/>
    <w:rsid w:val="00E43998"/>
    <w:rsid w:val="00E445AD"/>
    <w:rsid w:val="00E54CC4"/>
    <w:rsid w:val="00E65D62"/>
    <w:rsid w:val="00E66C50"/>
    <w:rsid w:val="00E67BB4"/>
    <w:rsid w:val="00E96F8C"/>
    <w:rsid w:val="00E975DA"/>
    <w:rsid w:val="00EA1B9A"/>
    <w:rsid w:val="00EB3604"/>
    <w:rsid w:val="00EC38A5"/>
    <w:rsid w:val="00EC5471"/>
    <w:rsid w:val="00ED1E10"/>
    <w:rsid w:val="00ED20CE"/>
    <w:rsid w:val="00EF42E0"/>
    <w:rsid w:val="00EF659D"/>
    <w:rsid w:val="00F02ECD"/>
    <w:rsid w:val="00F05E15"/>
    <w:rsid w:val="00F07275"/>
    <w:rsid w:val="00F1362C"/>
    <w:rsid w:val="00F22947"/>
    <w:rsid w:val="00F25CB0"/>
    <w:rsid w:val="00F32AA5"/>
    <w:rsid w:val="00F334CA"/>
    <w:rsid w:val="00F469E5"/>
    <w:rsid w:val="00F5172A"/>
    <w:rsid w:val="00F92CBE"/>
    <w:rsid w:val="00FA080D"/>
    <w:rsid w:val="00FA27C2"/>
    <w:rsid w:val="00FA6200"/>
    <w:rsid w:val="00FB0CF2"/>
    <w:rsid w:val="00FB1DE1"/>
    <w:rsid w:val="00FB4296"/>
    <w:rsid w:val="00FC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3BCE3D"/>
  <w15:docId w15:val="{A57428ED-0E26-4587-8E9A-481BA653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947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22947"/>
  </w:style>
  <w:style w:type="paragraph" w:styleId="BalloonText">
    <w:name w:val="Balloon Text"/>
    <w:basedOn w:val="Normal"/>
    <w:semiHidden/>
    <w:rsid w:val="00A2438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A1B9A"/>
  </w:style>
  <w:style w:type="paragraph" w:styleId="ListParagraph">
    <w:name w:val="List Paragraph"/>
    <w:basedOn w:val="Normal"/>
    <w:uiPriority w:val="34"/>
    <w:qFormat/>
    <w:rsid w:val="00A44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1730E-37C2-4697-BD65-F8ABAC142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SVCC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Nancy J. Breed</dc:creator>
  <cp:keywords/>
  <dc:description/>
  <cp:lastModifiedBy>dana.j.chacon</cp:lastModifiedBy>
  <cp:revision>3</cp:revision>
  <cp:lastPrinted>2011-07-14T13:28:00Z</cp:lastPrinted>
  <dcterms:created xsi:type="dcterms:W3CDTF">2017-07-18T18:43:00Z</dcterms:created>
  <dcterms:modified xsi:type="dcterms:W3CDTF">2017-07-20T13:54:00Z</dcterms:modified>
</cp:coreProperties>
</file>