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D03" w:rsidRPr="00554053" w:rsidRDefault="004F2D03" w:rsidP="004F2D03">
      <w:pPr>
        <w:jc w:val="center"/>
        <w:rPr>
          <w:b/>
        </w:rPr>
      </w:pPr>
      <w:r w:rsidRPr="00554053">
        <w:rPr>
          <w:b/>
        </w:rPr>
        <w:t>Sauk Valley Community College</w:t>
      </w:r>
    </w:p>
    <w:p w:rsidR="004F2D03" w:rsidRPr="00554053" w:rsidRDefault="004F2D03" w:rsidP="004F2D03">
      <w:pPr>
        <w:jc w:val="center"/>
        <w:rPr>
          <w:b/>
        </w:rPr>
      </w:pPr>
      <w:r>
        <w:rPr>
          <w:b/>
        </w:rPr>
        <w:t>May 22</w:t>
      </w:r>
      <w:r w:rsidRPr="00554053">
        <w:rPr>
          <w:b/>
        </w:rPr>
        <w:t>, 2017</w:t>
      </w:r>
    </w:p>
    <w:p w:rsidR="004F2D03" w:rsidRPr="00554053" w:rsidRDefault="004F2D03" w:rsidP="004F2D03">
      <w:pPr>
        <w:jc w:val="center"/>
        <w:rPr>
          <w:b/>
        </w:rPr>
      </w:pPr>
    </w:p>
    <w:p w:rsidR="004F2D03" w:rsidRPr="00554053" w:rsidRDefault="004F2D03" w:rsidP="004F2D03">
      <w:pPr>
        <w:jc w:val="right"/>
      </w:pPr>
      <w:r w:rsidRPr="00364532">
        <w:rPr>
          <w:b/>
          <w:u w:val="single"/>
        </w:rPr>
        <w:t>Action Item</w:t>
      </w:r>
      <w:r w:rsidR="00AF2FA7">
        <w:rPr>
          <w:b/>
          <w:u w:val="single"/>
        </w:rPr>
        <w:t xml:space="preserve"> 4.</w:t>
      </w:r>
      <w:bookmarkStart w:id="0" w:name="_GoBack"/>
      <w:bookmarkEnd w:id="0"/>
      <w:r>
        <w:rPr>
          <w:b/>
          <w:u w:val="single"/>
        </w:rPr>
        <w:t>2</w:t>
      </w:r>
      <w:r w:rsidRPr="00364532">
        <w:rPr>
          <w:b/>
          <w:u w:val="single"/>
        </w:rPr>
        <w:t xml:space="preserve"> </w:t>
      </w:r>
    </w:p>
    <w:p w:rsidR="004F2D03" w:rsidRPr="00554053" w:rsidRDefault="004F2D03" w:rsidP="004F2D03"/>
    <w:p w:rsidR="004F2D03" w:rsidRPr="00921BDD" w:rsidRDefault="004F2D03" w:rsidP="004F2D03">
      <w:pPr>
        <w:ind w:left="2160" w:hanging="2160"/>
        <w:rPr>
          <w:b/>
        </w:rPr>
      </w:pPr>
      <w:r w:rsidRPr="00921BDD">
        <w:rPr>
          <w:b/>
        </w:rPr>
        <w:t>Topic:</w:t>
      </w:r>
      <w:r w:rsidRPr="00921BDD">
        <w:rPr>
          <w:b/>
        </w:rPr>
        <w:tab/>
        <w:t>Memorandum of Understanding between the</w:t>
      </w:r>
      <w:r>
        <w:rPr>
          <w:b/>
        </w:rPr>
        <w:t xml:space="preserve"> </w:t>
      </w:r>
      <w:r w:rsidRPr="00921BDD">
        <w:rPr>
          <w:b/>
        </w:rPr>
        <w:t>Sauk Valley Community College Faculty Association, IEA-NEA and the</w:t>
      </w:r>
      <w:r>
        <w:rPr>
          <w:b/>
        </w:rPr>
        <w:t xml:space="preserve"> </w:t>
      </w:r>
      <w:r w:rsidRPr="00921BDD">
        <w:rPr>
          <w:b/>
        </w:rPr>
        <w:t>Sauk Valley Community College District #506 Board of Trustees</w:t>
      </w:r>
    </w:p>
    <w:p w:rsidR="004F2D03" w:rsidRDefault="004F2D03" w:rsidP="004F2D03">
      <w:pPr>
        <w:rPr>
          <w:b/>
          <w:bCs/>
          <w:color w:val="000000"/>
        </w:rPr>
      </w:pPr>
    </w:p>
    <w:p w:rsidR="004F2D03" w:rsidRPr="00872916" w:rsidRDefault="004F2D03" w:rsidP="004F2D03">
      <w:pPr>
        <w:ind w:left="2160" w:hanging="2160"/>
        <w:rPr>
          <w:b/>
          <w:bCs/>
          <w:color w:val="000000"/>
        </w:rPr>
      </w:pPr>
      <w:r>
        <w:rPr>
          <w:b/>
          <w:bCs/>
          <w:color w:val="000000"/>
        </w:rPr>
        <w:t xml:space="preserve">Strategic Direction: </w:t>
      </w:r>
      <w:r>
        <w:rPr>
          <w:b/>
          <w:bCs/>
          <w:color w:val="000000"/>
        </w:rPr>
        <w:tab/>
        <w:t xml:space="preserve">Goal 1, Objective 3 – </w:t>
      </w:r>
      <w:r w:rsidRPr="00872916">
        <w:rPr>
          <w:b/>
          <w:bCs/>
          <w:color w:val="000000"/>
        </w:rPr>
        <w:t>Be operationally efficient in order to maintain a low cost of attendance for students</w:t>
      </w:r>
    </w:p>
    <w:p w:rsidR="004F2D03" w:rsidRPr="00921BDD" w:rsidRDefault="004F2D03" w:rsidP="004F2D03">
      <w:pPr>
        <w:rPr>
          <w:b/>
        </w:rPr>
      </w:pPr>
    </w:p>
    <w:p w:rsidR="004F2D03" w:rsidRPr="00921BDD" w:rsidRDefault="004F2D03" w:rsidP="004F2D03">
      <w:pPr>
        <w:ind w:left="2160" w:hanging="2160"/>
        <w:rPr>
          <w:b/>
        </w:rPr>
      </w:pPr>
      <w:r w:rsidRPr="00921BDD">
        <w:rPr>
          <w:b/>
        </w:rPr>
        <w:t>Presented By:</w:t>
      </w:r>
      <w:r w:rsidRPr="00921BDD">
        <w:rPr>
          <w:b/>
        </w:rPr>
        <w:tab/>
        <w:t>Dr. Davi</w:t>
      </w:r>
      <w:r>
        <w:rPr>
          <w:b/>
        </w:rPr>
        <w:t xml:space="preserve">d Hellmich, Dr. Jon </w:t>
      </w:r>
      <w:proofErr w:type="spellStart"/>
      <w:r>
        <w:rPr>
          <w:b/>
        </w:rPr>
        <w:t>Mandrell</w:t>
      </w:r>
      <w:proofErr w:type="spellEnd"/>
      <w:r>
        <w:rPr>
          <w:b/>
        </w:rPr>
        <w:t>, Dr. Steve Nunez, and Kathryn Snow</w:t>
      </w:r>
    </w:p>
    <w:p w:rsidR="004F2D03" w:rsidRPr="00921BDD" w:rsidRDefault="004F2D03" w:rsidP="004F2D03">
      <w:pPr>
        <w:rPr>
          <w:b/>
        </w:rPr>
      </w:pPr>
    </w:p>
    <w:p w:rsidR="004F2D03" w:rsidRPr="00921BDD" w:rsidRDefault="004F2D03" w:rsidP="004F2D03">
      <w:pPr>
        <w:rPr>
          <w:b/>
        </w:rPr>
      </w:pPr>
      <w:r w:rsidRPr="00921BDD">
        <w:rPr>
          <w:b/>
        </w:rPr>
        <w:t>Presentation:</w:t>
      </w:r>
      <w:r w:rsidRPr="00921BDD">
        <w:rPr>
          <w:b/>
        </w:rPr>
        <w:tab/>
      </w:r>
    </w:p>
    <w:p w:rsidR="004F2D03" w:rsidRPr="0039115B" w:rsidRDefault="004F2D03" w:rsidP="004F2D03">
      <w:pPr>
        <w:spacing w:after="160" w:line="259" w:lineRule="auto"/>
      </w:pPr>
      <w:r>
        <w:rPr>
          <w:b/>
        </w:rPr>
        <w:tab/>
      </w:r>
      <w:r>
        <w:t xml:space="preserve">Per previous discussions with the Board, the following is the agreed upon Memorandum of Understanding, </w:t>
      </w:r>
      <w:r w:rsidRPr="0039115B">
        <w:t>which will expire on June 30, 2018</w:t>
      </w:r>
      <w:r>
        <w:t xml:space="preserve">, </w:t>
      </w:r>
      <w:r w:rsidRPr="00921BDD">
        <w:t xml:space="preserve">between the </w:t>
      </w:r>
      <w:r>
        <w:t xml:space="preserve">full-time </w:t>
      </w:r>
      <w:r w:rsidRPr="00921BDD">
        <w:t>College Faculty Association</w:t>
      </w:r>
      <w:r>
        <w:t xml:space="preserve"> and the </w:t>
      </w:r>
      <w:r w:rsidRPr="00921BDD">
        <w:t>Board of Trustees</w:t>
      </w:r>
      <w:r>
        <w:t>.</w:t>
      </w:r>
    </w:p>
    <w:p w:rsidR="004F2D03" w:rsidRPr="0039115B" w:rsidRDefault="004F2D03" w:rsidP="004F2D03">
      <w:r w:rsidRPr="0039115B">
        <w:rPr>
          <w:b/>
        </w:rPr>
        <w:t>Recommendation:</w:t>
      </w:r>
    </w:p>
    <w:p w:rsidR="004F2D03" w:rsidRPr="0039115B" w:rsidRDefault="004F2D03" w:rsidP="004F2D03">
      <w:pPr>
        <w:ind w:firstLine="720"/>
      </w:pPr>
      <w:r w:rsidRPr="0039115B">
        <w:t>The administration recommends the Board approve the Memorandum of Understanding between the full-time College Faculty Association and the Board of Trustees.</w:t>
      </w:r>
    </w:p>
    <w:p w:rsidR="004F2D03" w:rsidRDefault="004F2D03" w:rsidP="004F2D03">
      <w:pPr>
        <w:pStyle w:val="NoSpacing"/>
        <w:jc w:val="center"/>
        <w:rPr>
          <w:rFonts w:ascii="Arial" w:hAnsi="Arial" w:cs="Arial"/>
          <w:b/>
          <w:sz w:val="24"/>
          <w:szCs w:val="24"/>
        </w:rPr>
      </w:pPr>
    </w:p>
    <w:p w:rsidR="004F2D03" w:rsidRDefault="004F2D03" w:rsidP="004F2D03">
      <w:pPr>
        <w:spacing w:after="160" w:line="259" w:lineRule="auto"/>
        <w:rPr>
          <w:rFonts w:ascii="Arial" w:eastAsiaTheme="minorEastAsia" w:hAnsi="Arial" w:cs="Arial"/>
          <w:b/>
          <w:sz w:val="22"/>
          <w:szCs w:val="22"/>
        </w:rPr>
      </w:pPr>
    </w:p>
    <w:p w:rsidR="00544383" w:rsidRDefault="0054438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Default="004D5953" w:rsidP="004F2D03">
      <w:pPr>
        <w:spacing w:after="160" w:line="259" w:lineRule="auto"/>
        <w:rPr>
          <w:rFonts w:ascii="Arial" w:eastAsiaTheme="minorEastAsia" w:hAnsi="Arial" w:cs="Arial"/>
          <w:b/>
          <w:sz w:val="22"/>
          <w:szCs w:val="22"/>
        </w:rPr>
      </w:pPr>
    </w:p>
    <w:p w:rsidR="004D5953" w:rsidRPr="00921BDD" w:rsidRDefault="004D5953" w:rsidP="004D5953">
      <w:pPr>
        <w:pStyle w:val="NoSpacing"/>
        <w:jc w:val="center"/>
        <w:rPr>
          <w:rFonts w:ascii="Arial" w:hAnsi="Arial" w:cs="Arial"/>
          <w:b/>
        </w:rPr>
      </w:pPr>
      <w:r w:rsidRPr="00921BDD">
        <w:rPr>
          <w:rFonts w:ascii="Arial" w:hAnsi="Arial" w:cs="Arial"/>
          <w:b/>
        </w:rPr>
        <w:lastRenderedPageBreak/>
        <w:t>Memorandum of Understanding between the</w:t>
      </w:r>
    </w:p>
    <w:p w:rsidR="004D5953" w:rsidRPr="00921BDD" w:rsidRDefault="004D5953" w:rsidP="004D5953">
      <w:pPr>
        <w:pStyle w:val="NoSpacing"/>
        <w:jc w:val="center"/>
        <w:rPr>
          <w:rFonts w:ascii="Arial" w:hAnsi="Arial" w:cs="Arial"/>
          <w:b/>
        </w:rPr>
      </w:pPr>
      <w:r w:rsidRPr="00921BDD">
        <w:rPr>
          <w:rFonts w:ascii="Arial" w:hAnsi="Arial" w:cs="Arial"/>
          <w:b/>
        </w:rPr>
        <w:t>Sauk Valley Community College Faculty Association, IEA-NEA and the</w:t>
      </w:r>
    </w:p>
    <w:p w:rsidR="004D5953" w:rsidRPr="00921BDD" w:rsidRDefault="004D5953" w:rsidP="004D5953">
      <w:pPr>
        <w:pStyle w:val="NoSpacing"/>
        <w:jc w:val="center"/>
        <w:rPr>
          <w:rFonts w:ascii="Arial" w:hAnsi="Arial" w:cs="Arial"/>
          <w:b/>
        </w:rPr>
      </w:pPr>
      <w:r w:rsidRPr="00921BDD">
        <w:rPr>
          <w:rFonts w:ascii="Arial" w:hAnsi="Arial" w:cs="Arial"/>
          <w:b/>
        </w:rPr>
        <w:t>Sauk Valley Community College District #506 Board of Trustees</w:t>
      </w:r>
    </w:p>
    <w:p w:rsidR="004D5953" w:rsidRPr="00921BDD" w:rsidRDefault="004D5953" w:rsidP="004D5953">
      <w:pPr>
        <w:pStyle w:val="NoSpacing"/>
        <w:jc w:val="center"/>
        <w:rPr>
          <w:rFonts w:ascii="Arial" w:hAnsi="Arial" w:cs="Arial"/>
          <w:b/>
        </w:rPr>
      </w:pPr>
    </w:p>
    <w:p w:rsidR="004D5953" w:rsidRPr="00921BDD" w:rsidRDefault="004D5953" w:rsidP="004D5953">
      <w:pPr>
        <w:jc w:val="both"/>
        <w:rPr>
          <w:rFonts w:ascii="Arial" w:hAnsi="Arial" w:cs="Arial"/>
          <w:b/>
          <w:i/>
          <w:color w:val="000000" w:themeColor="text1"/>
          <w:sz w:val="22"/>
          <w:szCs w:val="22"/>
          <w:u w:val="single"/>
        </w:rPr>
      </w:pPr>
    </w:p>
    <w:p w:rsidR="004D5953" w:rsidRPr="00921BDD" w:rsidRDefault="004D5953" w:rsidP="004D5953">
      <w:pPr>
        <w:pStyle w:val="NoSpacing"/>
        <w:rPr>
          <w:rFonts w:ascii="Arial" w:hAnsi="Arial" w:cs="Arial"/>
        </w:rPr>
      </w:pPr>
      <w:r w:rsidRPr="00921BDD">
        <w:rPr>
          <w:rFonts w:ascii="Arial" w:hAnsi="Arial" w:cs="Arial"/>
        </w:rPr>
        <w:t>This Memorandum of Understanding (“MOU”) is entered into on this ___ of April, 2017, between the Sauk Valley Community College Faculty Association (the “Association”) and the Sauk Valley Community College District #506 Board of Trustees (the “Board”), collectively referenced as the “Parties” herein.</w:t>
      </w:r>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rPr>
        <w:t xml:space="preserve">The following bargaining representatives from both parties listed below met on Tuesday, </w:t>
      </w:r>
      <w:r w:rsidRPr="00921BDD">
        <w:rPr>
          <w:rFonts w:ascii="Arial" w:hAnsi="Arial" w:cs="Arial"/>
        </w:rPr>
        <w:br/>
        <w:t>April 18, 2017:</w:t>
      </w:r>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i/>
        </w:rPr>
        <w:t>Association Representatives</w:t>
      </w:r>
      <w:r w:rsidRPr="00921BDD">
        <w:rPr>
          <w:rFonts w:ascii="Arial" w:hAnsi="Arial" w:cs="Arial"/>
        </w:rPr>
        <w:t xml:space="preserve">: David </w:t>
      </w:r>
      <w:proofErr w:type="spellStart"/>
      <w:r w:rsidRPr="00921BDD">
        <w:rPr>
          <w:rFonts w:ascii="Arial" w:hAnsi="Arial" w:cs="Arial"/>
        </w:rPr>
        <w:t>Edelbach</w:t>
      </w:r>
      <w:proofErr w:type="spellEnd"/>
      <w:r w:rsidRPr="00921BDD">
        <w:rPr>
          <w:rFonts w:ascii="Arial" w:hAnsi="Arial" w:cs="Arial"/>
        </w:rPr>
        <w:t xml:space="preserve">, Mary Ann Hurd, Noel </w:t>
      </w:r>
      <w:proofErr w:type="spellStart"/>
      <w:r w:rsidRPr="00921BDD">
        <w:rPr>
          <w:rFonts w:ascii="Arial" w:hAnsi="Arial" w:cs="Arial"/>
        </w:rPr>
        <w:t>Berkey</w:t>
      </w:r>
      <w:proofErr w:type="spellEnd"/>
      <w:r w:rsidRPr="00921BDD">
        <w:rPr>
          <w:rFonts w:ascii="Arial" w:hAnsi="Arial" w:cs="Arial"/>
        </w:rPr>
        <w:t xml:space="preserve">, and Susan </w:t>
      </w:r>
      <w:proofErr w:type="spellStart"/>
      <w:r w:rsidRPr="00921BDD">
        <w:rPr>
          <w:rFonts w:ascii="Arial" w:hAnsi="Arial" w:cs="Arial"/>
        </w:rPr>
        <w:t>Goudreau</w:t>
      </w:r>
      <w:proofErr w:type="spellEnd"/>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i/>
        </w:rPr>
        <w:t>Board Representatives</w:t>
      </w:r>
      <w:r w:rsidRPr="00921BDD">
        <w:rPr>
          <w:rFonts w:ascii="Arial" w:hAnsi="Arial" w:cs="Arial"/>
        </w:rPr>
        <w:t xml:space="preserve">: David Hellmich, Kathryn Snow, Jonathon </w:t>
      </w:r>
      <w:proofErr w:type="spellStart"/>
      <w:r w:rsidRPr="00921BDD">
        <w:rPr>
          <w:rFonts w:ascii="Arial" w:hAnsi="Arial" w:cs="Arial"/>
        </w:rPr>
        <w:t>Mandrell</w:t>
      </w:r>
      <w:proofErr w:type="spellEnd"/>
      <w:r w:rsidRPr="00921BDD">
        <w:rPr>
          <w:rFonts w:ascii="Arial" w:hAnsi="Arial" w:cs="Arial"/>
        </w:rPr>
        <w:t>, and Steven Nunez.</w:t>
      </w:r>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rPr>
        <w:t xml:space="preserve">The parties discussed their shared mutual concern for the uncertainty of the State’s financial and budgetary situation and the financial viability of the </w:t>
      </w:r>
      <w:proofErr w:type="gramStart"/>
      <w:r w:rsidRPr="00921BDD">
        <w:rPr>
          <w:rFonts w:ascii="Arial" w:hAnsi="Arial" w:cs="Arial"/>
        </w:rPr>
        <w:t>College’s</w:t>
      </w:r>
      <w:proofErr w:type="gramEnd"/>
      <w:r w:rsidRPr="00921BDD">
        <w:rPr>
          <w:rFonts w:ascii="Arial" w:hAnsi="Arial" w:cs="Arial"/>
        </w:rPr>
        <w:t xml:space="preserve"> self-funded health insurance plan. Due to their mutual concern and interest in the financial health of the college and a commitment to the continuance of educational services to the Sauk community, the parties agree to extend the current collective bargaining agreement for a period of one additional year subject to the following </w:t>
      </w:r>
      <w:proofErr w:type="gramStart"/>
      <w:r w:rsidRPr="00921BDD">
        <w:rPr>
          <w:rFonts w:ascii="Arial" w:hAnsi="Arial" w:cs="Arial"/>
        </w:rPr>
        <w:t>provisions which</w:t>
      </w:r>
      <w:proofErr w:type="gramEnd"/>
      <w:r w:rsidRPr="00921BDD">
        <w:rPr>
          <w:rFonts w:ascii="Arial" w:hAnsi="Arial" w:cs="Arial"/>
        </w:rPr>
        <w:t xml:space="preserve"> are listed below. Once ratified by the Association and the Board, these terms will be incorporated into the collective bargaining agreement as a memorandum of </w:t>
      </w:r>
      <w:proofErr w:type="gramStart"/>
      <w:r w:rsidRPr="00921BDD">
        <w:rPr>
          <w:rFonts w:ascii="Arial" w:hAnsi="Arial" w:cs="Arial"/>
        </w:rPr>
        <w:t>understanding which</w:t>
      </w:r>
      <w:proofErr w:type="gramEnd"/>
      <w:r w:rsidRPr="00921BDD">
        <w:rPr>
          <w:rFonts w:ascii="Arial" w:hAnsi="Arial" w:cs="Arial"/>
        </w:rPr>
        <w:t xml:space="preserve"> will expire on June 30, 2018.</w:t>
      </w:r>
    </w:p>
    <w:p w:rsidR="004D5953" w:rsidRPr="00921BDD" w:rsidRDefault="004D5953" w:rsidP="004D5953">
      <w:pPr>
        <w:pStyle w:val="NoSpacing"/>
        <w:rPr>
          <w:rFonts w:ascii="Arial" w:hAnsi="Arial" w:cs="Arial"/>
        </w:rPr>
      </w:pPr>
    </w:p>
    <w:p w:rsidR="004D5953" w:rsidRPr="00921BDD" w:rsidRDefault="004D5953" w:rsidP="004D5953">
      <w:pPr>
        <w:pStyle w:val="NoSpacing"/>
        <w:numPr>
          <w:ilvl w:val="0"/>
          <w:numId w:val="2"/>
        </w:numPr>
        <w:tabs>
          <w:tab w:val="left" w:pos="360"/>
        </w:tabs>
        <w:rPr>
          <w:rFonts w:ascii="Arial" w:hAnsi="Arial" w:cs="Arial"/>
        </w:rPr>
      </w:pPr>
      <w:r w:rsidRPr="00921BDD">
        <w:rPr>
          <w:rFonts w:ascii="Arial" w:hAnsi="Arial" w:cs="Arial"/>
        </w:rPr>
        <w:t>The parties agree to forgo yearly salary increases for all college employees for the 2017-2018 academic term. Faculty members will not move vertically on the current salary schedule. Faculty members will receive only horizontal lane movement increases for promotion and/or advanced education per the provisions of Article 6 and Article 17 of the collective bargaining agreement. Other college employees will only receive salary increases due to promotion or reassignment. This provision does not apply to any employee working under the terms of another collective bargaining agreement between a different bargaining unit and the Board.</w:t>
      </w:r>
    </w:p>
    <w:p w:rsidR="004D5953" w:rsidRPr="00921BDD" w:rsidRDefault="004D5953" w:rsidP="004D5953">
      <w:pPr>
        <w:pStyle w:val="NoSpacing"/>
        <w:tabs>
          <w:tab w:val="left" w:pos="360"/>
        </w:tabs>
        <w:rPr>
          <w:rFonts w:ascii="Arial" w:hAnsi="Arial" w:cs="Arial"/>
        </w:rPr>
      </w:pPr>
    </w:p>
    <w:p w:rsidR="004D5953" w:rsidRPr="00921BDD" w:rsidRDefault="004D5953" w:rsidP="004D5953">
      <w:pPr>
        <w:pStyle w:val="NoSpacing"/>
        <w:numPr>
          <w:ilvl w:val="0"/>
          <w:numId w:val="2"/>
        </w:numPr>
        <w:tabs>
          <w:tab w:val="left" w:pos="360"/>
        </w:tabs>
        <w:rPr>
          <w:rFonts w:ascii="Arial" w:hAnsi="Arial" w:cs="Arial"/>
        </w:rPr>
      </w:pPr>
      <w:r w:rsidRPr="00921BDD">
        <w:rPr>
          <w:rFonts w:ascii="Arial" w:hAnsi="Arial" w:cs="Arial"/>
        </w:rPr>
        <w:t>The Faculty Association will accept the insurance plan options presented by the College on April 5, 2017. The plan options include the choice of three fully insured plans with Blue Cross/Blue Shield (Plan A, Plan B, and Plan C).</w:t>
      </w:r>
    </w:p>
    <w:p w:rsidR="004D5953" w:rsidRPr="00921BDD" w:rsidRDefault="004D5953" w:rsidP="004D5953">
      <w:pPr>
        <w:rPr>
          <w:rFonts w:ascii="Arial" w:hAnsi="Arial" w:cs="Arial"/>
          <w:b/>
          <w:sz w:val="22"/>
          <w:szCs w:val="22"/>
        </w:rPr>
      </w:pPr>
      <w:r w:rsidRPr="00921BDD">
        <w:rPr>
          <w:rFonts w:ascii="Arial" w:hAnsi="Arial" w:cs="Arial"/>
          <w:b/>
          <w:sz w:val="22"/>
          <w:szCs w:val="22"/>
        </w:rPr>
        <w:br w:type="page"/>
      </w:r>
    </w:p>
    <w:tbl>
      <w:tblPr>
        <w:tblStyle w:val="TableGrid"/>
        <w:tblW w:w="9990" w:type="dxa"/>
        <w:tblInd w:w="108" w:type="dxa"/>
        <w:tblLook w:val="04A0" w:firstRow="1" w:lastRow="0" w:firstColumn="1" w:lastColumn="0" w:noHBand="0" w:noVBand="1"/>
      </w:tblPr>
      <w:tblGrid>
        <w:gridCol w:w="3460"/>
        <w:gridCol w:w="1084"/>
        <w:gridCol w:w="1110"/>
        <w:gridCol w:w="1084"/>
        <w:gridCol w:w="1084"/>
        <w:gridCol w:w="1084"/>
        <w:gridCol w:w="1084"/>
      </w:tblGrid>
      <w:tr w:rsidR="004D5953" w:rsidRPr="00921BDD" w:rsidTr="00AD26B0">
        <w:trPr>
          <w:trHeight w:val="434"/>
        </w:trPr>
        <w:tc>
          <w:tcPr>
            <w:tcW w:w="3460" w:type="dxa"/>
          </w:tcPr>
          <w:p w:rsidR="004D5953" w:rsidRPr="00921BDD" w:rsidRDefault="004D5953" w:rsidP="00AD26B0">
            <w:pPr>
              <w:pStyle w:val="NoSpacing"/>
              <w:rPr>
                <w:rFonts w:ascii="Arial" w:hAnsi="Arial" w:cs="Arial"/>
              </w:rPr>
            </w:pPr>
          </w:p>
        </w:tc>
        <w:tc>
          <w:tcPr>
            <w:tcW w:w="2194" w:type="dxa"/>
            <w:gridSpan w:val="2"/>
            <w:vAlign w:val="center"/>
          </w:tcPr>
          <w:p w:rsidR="004D5953" w:rsidRPr="00921BDD" w:rsidRDefault="004D5953" w:rsidP="00AD26B0">
            <w:pPr>
              <w:pStyle w:val="NoSpacing"/>
              <w:jc w:val="center"/>
              <w:rPr>
                <w:rFonts w:ascii="Arial" w:hAnsi="Arial" w:cs="Arial"/>
                <w:b/>
              </w:rPr>
            </w:pPr>
            <w:r w:rsidRPr="00921BDD">
              <w:rPr>
                <w:rFonts w:ascii="Arial" w:hAnsi="Arial" w:cs="Arial"/>
                <w:b/>
              </w:rPr>
              <w:t>Plan A</w:t>
            </w:r>
          </w:p>
        </w:tc>
        <w:tc>
          <w:tcPr>
            <w:tcW w:w="2168" w:type="dxa"/>
            <w:gridSpan w:val="2"/>
            <w:vAlign w:val="center"/>
          </w:tcPr>
          <w:p w:rsidR="004D5953" w:rsidRPr="00921BDD" w:rsidRDefault="004D5953" w:rsidP="00AD26B0">
            <w:pPr>
              <w:pStyle w:val="NoSpacing"/>
              <w:jc w:val="center"/>
              <w:rPr>
                <w:rFonts w:ascii="Arial" w:hAnsi="Arial" w:cs="Arial"/>
                <w:b/>
              </w:rPr>
            </w:pPr>
            <w:r w:rsidRPr="00921BDD">
              <w:rPr>
                <w:rFonts w:ascii="Arial" w:hAnsi="Arial" w:cs="Arial"/>
                <w:b/>
              </w:rPr>
              <w:t>Plan B</w:t>
            </w:r>
          </w:p>
        </w:tc>
        <w:tc>
          <w:tcPr>
            <w:tcW w:w="2168" w:type="dxa"/>
            <w:gridSpan w:val="2"/>
            <w:vAlign w:val="center"/>
          </w:tcPr>
          <w:p w:rsidR="004D5953" w:rsidRPr="00921BDD" w:rsidRDefault="004D5953" w:rsidP="00AD26B0">
            <w:pPr>
              <w:pStyle w:val="NoSpacing"/>
              <w:jc w:val="center"/>
              <w:rPr>
                <w:rFonts w:ascii="Arial" w:hAnsi="Arial" w:cs="Arial"/>
                <w:b/>
              </w:rPr>
            </w:pPr>
            <w:r w:rsidRPr="00921BDD">
              <w:rPr>
                <w:rFonts w:ascii="Arial" w:hAnsi="Arial" w:cs="Arial"/>
                <w:b/>
              </w:rPr>
              <w:t>Plan C</w:t>
            </w:r>
          </w:p>
        </w:tc>
      </w:tr>
      <w:tr w:rsidR="004D5953" w:rsidRPr="00921BDD" w:rsidTr="00AD26B0">
        <w:trPr>
          <w:trHeight w:val="434"/>
        </w:trPr>
        <w:tc>
          <w:tcPr>
            <w:tcW w:w="3460" w:type="dxa"/>
          </w:tcPr>
          <w:p w:rsidR="004D5953" w:rsidRPr="00921BDD" w:rsidRDefault="004D5953" w:rsidP="00AD26B0">
            <w:pPr>
              <w:pStyle w:val="NoSpacing"/>
              <w:rPr>
                <w:rFonts w:ascii="Arial" w:hAnsi="Arial" w:cs="Arial"/>
              </w:rPr>
            </w:pPr>
          </w:p>
        </w:tc>
        <w:tc>
          <w:tcPr>
            <w:tcW w:w="1084" w:type="dxa"/>
          </w:tcPr>
          <w:p w:rsidR="004D5953" w:rsidRPr="00921BDD" w:rsidRDefault="004D5953" w:rsidP="00AD26B0">
            <w:pPr>
              <w:pStyle w:val="NoSpacing"/>
              <w:rPr>
                <w:rFonts w:ascii="Arial" w:hAnsi="Arial" w:cs="Arial"/>
                <w:b/>
              </w:rPr>
            </w:pPr>
            <w:r w:rsidRPr="00921BDD">
              <w:rPr>
                <w:rFonts w:ascii="Arial" w:hAnsi="Arial" w:cs="Arial"/>
                <w:b/>
              </w:rPr>
              <w:t>In-Network</w:t>
            </w:r>
          </w:p>
        </w:tc>
        <w:tc>
          <w:tcPr>
            <w:tcW w:w="1110" w:type="dxa"/>
          </w:tcPr>
          <w:p w:rsidR="004D5953" w:rsidRPr="00921BDD" w:rsidRDefault="004D5953" w:rsidP="00AD26B0">
            <w:pPr>
              <w:pStyle w:val="NoSpacing"/>
              <w:rPr>
                <w:rFonts w:ascii="Arial" w:hAnsi="Arial" w:cs="Arial"/>
                <w:b/>
              </w:rPr>
            </w:pPr>
            <w:r w:rsidRPr="00921BDD">
              <w:rPr>
                <w:rFonts w:ascii="Arial" w:hAnsi="Arial" w:cs="Arial"/>
                <w:b/>
              </w:rPr>
              <w:t>Out-of-Network</w:t>
            </w:r>
          </w:p>
        </w:tc>
        <w:tc>
          <w:tcPr>
            <w:tcW w:w="1084" w:type="dxa"/>
          </w:tcPr>
          <w:p w:rsidR="004D5953" w:rsidRPr="00921BDD" w:rsidRDefault="004D5953" w:rsidP="00AD26B0">
            <w:pPr>
              <w:pStyle w:val="NoSpacing"/>
              <w:rPr>
                <w:rFonts w:ascii="Arial" w:hAnsi="Arial" w:cs="Arial"/>
                <w:b/>
              </w:rPr>
            </w:pPr>
            <w:r w:rsidRPr="00921BDD">
              <w:rPr>
                <w:rFonts w:ascii="Arial" w:hAnsi="Arial" w:cs="Arial"/>
                <w:b/>
              </w:rPr>
              <w:t>In-Network</w:t>
            </w:r>
          </w:p>
        </w:tc>
        <w:tc>
          <w:tcPr>
            <w:tcW w:w="1084" w:type="dxa"/>
          </w:tcPr>
          <w:p w:rsidR="004D5953" w:rsidRPr="00921BDD" w:rsidRDefault="004D5953" w:rsidP="00AD26B0">
            <w:pPr>
              <w:pStyle w:val="NoSpacing"/>
              <w:rPr>
                <w:rFonts w:ascii="Arial" w:hAnsi="Arial" w:cs="Arial"/>
                <w:b/>
              </w:rPr>
            </w:pPr>
            <w:r w:rsidRPr="00921BDD">
              <w:rPr>
                <w:rFonts w:ascii="Arial" w:hAnsi="Arial" w:cs="Arial"/>
                <w:b/>
              </w:rPr>
              <w:t>Out-of-Network</w:t>
            </w:r>
          </w:p>
        </w:tc>
        <w:tc>
          <w:tcPr>
            <w:tcW w:w="1084" w:type="dxa"/>
          </w:tcPr>
          <w:p w:rsidR="004D5953" w:rsidRPr="00921BDD" w:rsidRDefault="004D5953" w:rsidP="00AD26B0">
            <w:pPr>
              <w:pStyle w:val="NoSpacing"/>
              <w:rPr>
                <w:rFonts w:ascii="Arial" w:hAnsi="Arial" w:cs="Arial"/>
                <w:b/>
              </w:rPr>
            </w:pPr>
            <w:r w:rsidRPr="00921BDD">
              <w:rPr>
                <w:rFonts w:ascii="Arial" w:hAnsi="Arial" w:cs="Arial"/>
                <w:b/>
              </w:rPr>
              <w:t>In-Network</w:t>
            </w:r>
          </w:p>
        </w:tc>
        <w:tc>
          <w:tcPr>
            <w:tcW w:w="1084" w:type="dxa"/>
          </w:tcPr>
          <w:p w:rsidR="004D5953" w:rsidRPr="00921BDD" w:rsidRDefault="004D5953" w:rsidP="00AD26B0">
            <w:pPr>
              <w:pStyle w:val="NoSpacing"/>
              <w:rPr>
                <w:rFonts w:ascii="Arial" w:hAnsi="Arial" w:cs="Arial"/>
                <w:b/>
              </w:rPr>
            </w:pPr>
            <w:r w:rsidRPr="00921BDD">
              <w:rPr>
                <w:rFonts w:ascii="Arial" w:hAnsi="Arial" w:cs="Arial"/>
                <w:b/>
              </w:rPr>
              <w:t>Out-of-Network</w:t>
            </w:r>
          </w:p>
        </w:tc>
      </w:tr>
      <w:tr w:rsidR="004D5953" w:rsidRPr="00921BDD" w:rsidTr="00AD26B0">
        <w:trPr>
          <w:trHeight w:val="305"/>
        </w:trPr>
        <w:tc>
          <w:tcPr>
            <w:tcW w:w="3460" w:type="dxa"/>
          </w:tcPr>
          <w:p w:rsidR="004D5953" w:rsidRPr="00921BDD" w:rsidRDefault="004D5953" w:rsidP="00AD26B0">
            <w:pPr>
              <w:pStyle w:val="NoSpacing"/>
              <w:rPr>
                <w:rFonts w:ascii="Arial" w:hAnsi="Arial" w:cs="Arial"/>
                <w:b/>
              </w:rPr>
            </w:pPr>
            <w:r w:rsidRPr="00921BDD">
              <w:rPr>
                <w:rFonts w:ascii="Arial" w:hAnsi="Arial" w:cs="Arial"/>
                <w:b/>
              </w:rPr>
              <w:t>Deductible – Single</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$500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$1,000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$500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$2,000</w:t>
            </w:r>
          </w:p>
        </w:tc>
      </w:tr>
      <w:tr w:rsidR="004D5953" w:rsidRPr="00921BDD" w:rsidTr="00AD26B0">
        <w:trPr>
          <w:trHeight w:val="305"/>
        </w:trPr>
        <w:tc>
          <w:tcPr>
            <w:tcW w:w="3460" w:type="dxa"/>
          </w:tcPr>
          <w:p w:rsidR="004D5953" w:rsidRPr="00921BDD" w:rsidRDefault="004D5953" w:rsidP="00AD26B0">
            <w:pPr>
              <w:pStyle w:val="NoSpacing"/>
              <w:rPr>
                <w:rFonts w:ascii="Arial" w:hAnsi="Arial" w:cs="Arial"/>
                <w:b/>
              </w:rPr>
            </w:pPr>
            <w:r w:rsidRPr="00921BDD">
              <w:rPr>
                <w:rFonts w:ascii="Arial" w:hAnsi="Arial" w:cs="Arial"/>
                <w:b/>
              </w:rPr>
              <w:t>Deductible – Family</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$3,000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$3,000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$3,000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$6,000</w:t>
            </w:r>
          </w:p>
        </w:tc>
      </w:tr>
      <w:tr w:rsidR="004D5953" w:rsidRPr="00921BDD" w:rsidTr="00AD26B0">
        <w:trPr>
          <w:trHeight w:val="323"/>
        </w:trPr>
        <w:tc>
          <w:tcPr>
            <w:tcW w:w="3460" w:type="dxa"/>
          </w:tcPr>
          <w:p w:rsidR="004D5953" w:rsidRPr="00921BDD" w:rsidRDefault="004D5953" w:rsidP="00AD26B0">
            <w:pPr>
              <w:pStyle w:val="NoSpacing"/>
              <w:rPr>
                <w:rFonts w:ascii="Arial" w:hAnsi="Arial" w:cs="Arial"/>
                <w:b/>
              </w:rPr>
            </w:pPr>
            <w:r w:rsidRPr="00921BDD">
              <w:rPr>
                <w:rFonts w:ascii="Arial" w:hAnsi="Arial" w:cs="Arial"/>
                <w:b/>
              </w:rPr>
              <w:t>OPM – Single</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$3,000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$2,500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$5,000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$3,000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$6,000</w:t>
            </w:r>
          </w:p>
        </w:tc>
      </w:tr>
      <w:tr w:rsidR="004D5953" w:rsidRPr="00921BDD" w:rsidTr="00AD26B0">
        <w:trPr>
          <w:trHeight w:val="323"/>
        </w:trPr>
        <w:tc>
          <w:tcPr>
            <w:tcW w:w="3460" w:type="dxa"/>
          </w:tcPr>
          <w:p w:rsidR="004D5953" w:rsidRPr="00921BDD" w:rsidRDefault="004D5953" w:rsidP="00AD26B0">
            <w:pPr>
              <w:pStyle w:val="NoSpacing"/>
              <w:rPr>
                <w:rFonts w:ascii="Arial" w:hAnsi="Arial" w:cs="Arial"/>
                <w:b/>
              </w:rPr>
            </w:pPr>
            <w:r w:rsidRPr="00921BDD">
              <w:rPr>
                <w:rFonts w:ascii="Arial" w:hAnsi="Arial" w:cs="Arial"/>
                <w:b/>
              </w:rPr>
              <w:t>OPM – Family</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$4,500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$9,000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$7,500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$9,000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$18,000</w:t>
            </w:r>
          </w:p>
        </w:tc>
      </w:tr>
      <w:tr w:rsidR="004D5953" w:rsidRPr="00921BDD" w:rsidTr="00AD26B0">
        <w:trPr>
          <w:trHeight w:val="278"/>
        </w:trPr>
        <w:tc>
          <w:tcPr>
            <w:tcW w:w="3460" w:type="dxa"/>
          </w:tcPr>
          <w:p w:rsidR="004D5953" w:rsidRPr="00921BDD" w:rsidRDefault="004D5953" w:rsidP="00AD26B0">
            <w:pPr>
              <w:pStyle w:val="NoSpacing"/>
              <w:rPr>
                <w:rFonts w:ascii="Arial" w:hAnsi="Arial" w:cs="Arial"/>
                <w:b/>
              </w:rPr>
            </w:pPr>
            <w:r w:rsidRPr="00921BDD">
              <w:rPr>
                <w:rFonts w:ascii="Arial" w:hAnsi="Arial" w:cs="Arial"/>
                <w:b/>
              </w:rPr>
              <w:t>Physician Visits – Co-pay</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$20</w:t>
            </w:r>
          </w:p>
        </w:tc>
        <w:tc>
          <w:tcPr>
            <w:tcW w:w="1110" w:type="dxa"/>
          </w:tcPr>
          <w:p w:rsidR="004D5953" w:rsidRPr="00921BDD" w:rsidRDefault="004D5953" w:rsidP="00AD26B0">
            <w:pPr>
              <w:pStyle w:val="NoSpacing"/>
              <w:jc w:val="right"/>
              <w:rPr>
                <w:rFonts w:ascii="Arial" w:hAnsi="Arial" w:cs="Arial"/>
              </w:rPr>
            </w:pP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$30</w:t>
            </w:r>
          </w:p>
        </w:tc>
        <w:tc>
          <w:tcPr>
            <w:tcW w:w="1084" w:type="dxa"/>
          </w:tcPr>
          <w:p w:rsidR="004D5953" w:rsidRPr="00921BDD" w:rsidRDefault="004D5953" w:rsidP="00AD26B0">
            <w:pPr>
              <w:pStyle w:val="NoSpacing"/>
              <w:jc w:val="right"/>
              <w:rPr>
                <w:rFonts w:ascii="Arial" w:hAnsi="Arial" w:cs="Arial"/>
              </w:rPr>
            </w:pP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$30</w:t>
            </w:r>
          </w:p>
        </w:tc>
        <w:tc>
          <w:tcPr>
            <w:tcW w:w="1084" w:type="dxa"/>
          </w:tcPr>
          <w:p w:rsidR="004D5953" w:rsidRPr="00921BDD" w:rsidRDefault="004D5953" w:rsidP="00AD26B0">
            <w:pPr>
              <w:pStyle w:val="NoSpacing"/>
              <w:jc w:val="right"/>
              <w:rPr>
                <w:rFonts w:ascii="Arial" w:hAnsi="Arial" w:cs="Arial"/>
              </w:rPr>
            </w:pPr>
          </w:p>
        </w:tc>
      </w:tr>
      <w:tr w:rsidR="004D5953" w:rsidRPr="00921BDD" w:rsidTr="00AD26B0">
        <w:trPr>
          <w:trHeight w:val="305"/>
        </w:trPr>
        <w:tc>
          <w:tcPr>
            <w:tcW w:w="3460" w:type="dxa"/>
          </w:tcPr>
          <w:p w:rsidR="004D5953" w:rsidRPr="00921BDD" w:rsidRDefault="004D5953" w:rsidP="00AD26B0">
            <w:pPr>
              <w:pStyle w:val="NoSpacing"/>
              <w:rPr>
                <w:rFonts w:ascii="Arial" w:hAnsi="Arial" w:cs="Arial"/>
                <w:b/>
              </w:rPr>
            </w:pPr>
            <w:r w:rsidRPr="00921BDD">
              <w:rPr>
                <w:rFonts w:ascii="Arial" w:hAnsi="Arial" w:cs="Arial"/>
                <w:b/>
              </w:rPr>
              <w:t>Physician Visits – Specialist Co-pay</w:t>
            </w:r>
          </w:p>
        </w:tc>
        <w:tc>
          <w:tcPr>
            <w:tcW w:w="1084" w:type="dxa"/>
            <w:vAlign w:val="bottom"/>
          </w:tcPr>
          <w:p w:rsidR="004D5953" w:rsidRPr="00921BDD" w:rsidRDefault="004D5953" w:rsidP="00AD26B0">
            <w:pPr>
              <w:pStyle w:val="NoSpacing"/>
              <w:jc w:val="right"/>
              <w:rPr>
                <w:rFonts w:ascii="Arial" w:hAnsi="Arial" w:cs="Arial"/>
              </w:rPr>
            </w:pPr>
            <w:r w:rsidRPr="00921BDD">
              <w:rPr>
                <w:rFonts w:ascii="Arial" w:hAnsi="Arial" w:cs="Arial"/>
              </w:rPr>
              <w:t>$40</w:t>
            </w:r>
          </w:p>
        </w:tc>
        <w:tc>
          <w:tcPr>
            <w:tcW w:w="1110" w:type="dxa"/>
            <w:vAlign w:val="bottom"/>
          </w:tcPr>
          <w:p w:rsidR="004D5953" w:rsidRPr="00921BDD" w:rsidRDefault="004D5953" w:rsidP="00AD26B0">
            <w:pPr>
              <w:pStyle w:val="NoSpacing"/>
              <w:jc w:val="right"/>
              <w:rPr>
                <w:rFonts w:ascii="Arial" w:hAnsi="Arial" w:cs="Arial"/>
              </w:rPr>
            </w:pPr>
          </w:p>
        </w:tc>
        <w:tc>
          <w:tcPr>
            <w:tcW w:w="1084" w:type="dxa"/>
            <w:vAlign w:val="bottom"/>
          </w:tcPr>
          <w:p w:rsidR="004D5953" w:rsidRPr="00921BDD" w:rsidRDefault="004D5953" w:rsidP="00AD26B0">
            <w:pPr>
              <w:pStyle w:val="NoSpacing"/>
              <w:jc w:val="right"/>
              <w:rPr>
                <w:rFonts w:ascii="Arial" w:hAnsi="Arial" w:cs="Arial"/>
              </w:rPr>
            </w:pPr>
            <w:r w:rsidRPr="00921BDD">
              <w:rPr>
                <w:rFonts w:ascii="Arial" w:hAnsi="Arial" w:cs="Arial"/>
              </w:rPr>
              <w:t>$50</w:t>
            </w:r>
          </w:p>
        </w:tc>
        <w:tc>
          <w:tcPr>
            <w:tcW w:w="1084" w:type="dxa"/>
            <w:vAlign w:val="bottom"/>
          </w:tcPr>
          <w:p w:rsidR="004D5953" w:rsidRPr="00921BDD" w:rsidRDefault="004D5953" w:rsidP="00AD26B0">
            <w:pPr>
              <w:pStyle w:val="NoSpacing"/>
              <w:jc w:val="right"/>
              <w:rPr>
                <w:rFonts w:ascii="Arial" w:hAnsi="Arial" w:cs="Arial"/>
              </w:rPr>
            </w:pPr>
          </w:p>
        </w:tc>
        <w:tc>
          <w:tcPr>
            <w:tcW w:w="1084" w:type="dxa"/>
            <w:vAlign w:val="bottom"/>
          </w:tcPr>
          <w:p w:rsidR="004D5953" w:rsidRPr="00921BDD" w:rsidRDefault="004D5953" w:rsidP="00AD26B0">
            <w:pPr>
              <w:pStyle w:val="NoSpacing"/>
              <w:jc w:val="right"/>
              <w:rPr>
                <w:rFonts w:ascii="Arial" w:hAnsi="Arial" w:cs="Arial"/>
              </w:rPr>
            </w:pPr>
            <w:r w:rsidRPr="00921BDD">
              <w:rPr>
                <w:rFonts w:ascii="Arial" w:hAnsi="Arial" w:cs="Arial"/>
              </w:rPr>
              <w:t>$50</w:t>
            </w:r>
          </w:p>
        </w:tc>
        <w:tc>
          <w:tcPr>
            <w:tcW w:w="1084" w:type="dxa"/>
            <w:vAlign w:val="bottom"/>
          </w:tcPr>
          <w:p w:rsidR="004D5953" w:rsidRPr="00921BDD" w:rsidRDefault="004D5953" w:rsidP="00AD26B0">
            <w:pPr>
              <w:pStyle w:val="NoSpacing"/>
              <w:jc w:val="right"/>
              <w:rPr>
                <w:rFonts w:ascii="Arial" w:hAnsi="Arial" w:cs="Arial"/>
              </w:rPr>
            </w:pPr>
          </w:p>
        </w:tc>
      </w:tr>
      <w:tr w:rsidR="004D5953" w:rsidRPr="00921BDD" w:rsidTr="00AD26B0">
        <w:trPr>
          <w:trHeight w:val="305"/>
        </w:trPr>
        <w:tc>
          <w:tcPr>
            <w:tcW w:w="3460" w:type="dxa"/>
          </w:tcPr>
          <w:p w:rsidR="004D5953" w:rsidRPr="00921BDD" w:rsidRDefault="004D5953" w:rsidP="00AD26B0">
            <w:pPr>
              <w:pStyle w:val="NoSpacing"/>
              <w:rPr>
                <w:rFonts w:ascii="Arial" w:hAnsi="Arial" w:cs="Arial"/>
                <w:b/>
              </w:rPr>
            </w:pPr>
            <w:r w:rsidRPr="00921BDD">
              <w:rPr>
                <w:rFonts w:ascii="Arial" w:hAnsi="Arial" w:cs="Arial"/>
                <w:b/>
              </w:rPr>
              <w:t>Emergency Room Co-pay</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w:t>
            </w:r>
          </w:p>
        </w:tc>
        <w:tc>
          <w:tcPr>
            <w:tcW w:w="1110" w:type="dxa"/>
          </w:tcPr>
          <w:p w:rsidR="004D5953" w:rsidRPr="00921BDD" w:rsidRDefault="004D5953" w:rsidP="00AD26B0">
            <w:pPr>
              <w:pStyle w:val="NoSpacing"/>
              <w:jc w:val="right"/>
              <w:rPr>
                <w:rFonts w:ascii="Arial" w:hAnsi="Arial" w:cs="Arial"/>
              </w:rPr>
            </w:pP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w:t>
            </w:r>
          </w:p>
        </w:tc>
        <w:tc>
          <w:tcPr>
            <w:tcW w:w="1084" w:type="dxa"/>
          </w:tcPr>
          <w:p w:rsidR="004D5953" w:rsidRPr="00921BDD" w:rsidRDefault="004D5953" w:rsidP="00AD26B0">
            <w:pPr>
              <w:pStyle w:val="NoSpacing"/>
              <w:jc w:val="right"/>
              <w:rPr>
                <w:rFonts w:ascii="Arial" w:hAnsi="Arial" w:cs="Arial"/>
              </w:rPr>
            </w:pP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$150</w:t>
            </w:r>
          </w:p>
        </w:tc>
        <w:tc>
          <w:tcPr>
            <w:tcW w:w="1084" w:type="dxa"/>
          </w:tcPr>
          <w:p w:rsidR="004D5953" w:rsidRPr="00921BDD" w:rsidRDefault="004D5953" w:rsidP="00AD26B0">
            <w:pPr>
              <w:pStyle w:val="NoSpacing"/>
              <w:jc w:val="right"/>
              <w:rPr>
                <w:rFonts w:ascii="Arial" w:hAnsi="Arial" w:cs="Arial"/>
              </w:rPr>
            </w:pPr>
          </w:p>
        </w:tc>
      </w:tr>
      <w:tr w:rsidR="004D5953" w:rsidRPr="00921BDD" w:rsidTr="00AD26B0">
        <w:trPr>
          <w:trHeight w:val="260"/>
        </w:trPr>
        <w:tc>
          <w:tcPr>
            <w:tcW w:w="3460" w:type="dxa"/>
          </w:tcPr>
          <w:p w:rsidR="004D5953" w:rsidRPr="00921BDD" w:rsidRDefault="004D5953" w:rsidP="00AD26B0">
            <w:pPr>
              <w:pStyle w:val="NoSpacing"/>
              <w:rPr>
                <w:rFonts w:ascii="Arial" w:hAnsi="Arial" w:cs="Arial"/>
                <w:b/>
              </w:rPr>
            </w:pPr>
            <w:r w:rsidRPr="00921BDD">
              <w:rPr>
                <w:rFonts w:ascii="Arial" w:hAnsi="Arial" w:cs="Arial"/>
                <w:b/>
              </w:rPr>
              <w:t>Co-Insurance</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90%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70%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80%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80%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w:t>
            </w:r>
          </w:p>
        </w:tc>
      </w:tr>
      <w:tr w:rsidR="004D5953" w:rsidRPr="00921BDD" w:rsidTr="00AD26B0">
        <w:trPr>
          <w:trHeight w:val="260"/>
        </w:trPr>
        <w:tc>
          <w:tcPr>
            <w:tcW w:w="3460" w:type="dxa"/>
          </w:tcPr>
          <w:p w:rsidR="004D5953" w:rsidRPr="00921BDD" w:rsidRDefault="004D5953" w:rsidP="00AD26B0">
            <w:pPr>
              <w:pStyle w:val="NoSpacing"/>
              <w:rPr>
                <w:rFonts w:ascii="Arial" w:hAnsi="Arial" w:cs="Arial"/>
                <w:b/>
              </w:rPr>
            </w:pPr>
            <w:r w:rsidRPr="00921BDD">
              <w:rPr>
                <w:rFonts w:ascii="Arial" w:hAnsi="Arial" w:cs="Arial"/>
                <w:b/>
              </w:rPr>
              <w:t>Rx-Generic</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$15</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$15</w:t>
            </w:r>
          </w:p>
        </w:tc>
      </w:tr>
      <w:tr w:rsidR="004D5953" w:rsidRPr="00921BDD" w:rsidTr="00AD26B0">
        <w:trPr>
          <w:trHeight w:val="260"/>
        </w:trPr>
        <w:tc>
          <w:tcPr>
            <w:tcW w:w="3460" w:type="dxa"/>
          </w:tcPr>
          <w:p w:rsidR="004D5953" w:rsidRPr="00921BDD" w:rsidRDefault="004D5953" w:rsidP="00AD26B0">
            <w:pPr>
              <w:pStyle w:val="NoSpacing"/>
              <w:rPr>
                <w:rFonts w:ascii="Arial" w:hAnsi="Arial" w:cs="Arial"/>
                <w:b/>
              </w:rPr>
            </w:pPr>
            <w:r w:rsidRPr="00921BDD">
              <w:rPr>
                <w:rFonts w:ascii="Arial" w:hAnsi="Arial" w:cs="Arial"/>
                <w:b/>
              </w:rPr>
              <w:t>Rx-Name Brand</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$40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$50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$40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$50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$40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$50</w:t>
            </w:r>
          </w:p>
        </w:tc>
      </w:tr>
      <w:tr w:rsidR="004D5953" w:rsidRPr="00921BDD" w:rsidTr="00AD26B0">
        <w:trPr>
          <w:trHeight w:val="260"/>
        </w:trPr>
        <w:tc>
          <w:tcPr>
            <w:tcW w:w="3460" w:type="dxa"/>
          </w:tcPr>
          <w:p w:rsidR="004D5953" w:rsidRPr="00921BDD" w:rsidRDefault="004D5953" w:rsidP="00AD26B0">
            <w:pPr>
              <w:pStyle w:val="NoSpacing"/>
              <w:rPr>
                <w:rFonts w:ascii="Arial" w:hAnsi="Arial" w:cs="Arial"/>
                <w:b/>
              </w:rPr>
            </w:pPr>
            <w:r w:rsidRPr="00921BDD">
              <w:rPr>
                <w:rFonts w:ascii="Arial" w:hAnsi="Arial" w:cs="Arial"/>
                <w:b/>
              </w:rPr>
              <w:t>Rx-Non-formulary</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w:t>
            </w:r>
          </w:p>
        </w:tc>
        <w:tc>
          <w:tcPr>
            <w:tcW w:w="1110" w:type="dxa"/>
          </w:tcPr>
          <w:p w:rsidR="004D5953" w:rsidRPr="00921BDD" w:rsidRDefault="004D5953" w:rsidP="00AD26B0">
            <w:pPr>
              <w:pStyle w:val="NoSpacing"/>
              <w:jc w:val="right"/>
              <w:rPr>
                <w:rFonts w:ascii="Arial" w:hAnsi="Arial" w:cs="Arial"/>
              </w:rPr>
            </w:pPr>
            <w:r w:rsidRPr="00921BDD">
              <w:rPr>
                <w:rFonts w:ascii="Arial" w:hAnsi="Arial" w:cs="Arial"/>
              </w:rPr>
              <w:t>$70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$70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$60</w:t>
            </w:r>
          </w:p>
        </w:tc>
        <w:tc>
          <w:tcPr>
            <w:tcW w:w="1084" w:type="dxa"/>
          </w:tcPr>
          <w:p w:rsidR="004D5953" w:rsidRPr="00921BDD" w:rsidRDefault="004D5953" w:rsidP="00AD26B0">
            <w:pPr>
              <w:pStyle w:val="NoSpacing"/>
              <w:jc w:val="right"/>
              <w:rPr>
                <w:rFonts w:ascii="Arial" w:hAnsi="Arial" w:cs="Arial"/>
              </w:rPr>
            </w:pPr>
            <w:r w:rsidRPr="00921BDD">
              <w:rPr>
                <w:rFonts w:ascii="Arial" w:hAnsi="Arial" w:cs="Arial"/>
              </w:rPr>
              <w:t>$70</w:t>
            </w:r>
          </w:p>
        </w:tc>
      </w:tr>
    </w:tbl>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rPr>
        <w:t>The annual employee premiums rates will be as follows:</w:t>
      </w:r>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rPr>
        <w:tab/>
      </w:r>
      <w:r w:rsidRPr="00921BDD">
        <w:rPr>
          <w:rFonts w:ascii="Arial" w:hAnsi="Arial" w:cs="Arial"/>
        </w:rPr>
        <w:tab/>
      </w:r>
      <w:r w:rsidRPr="00921BDD">
        <w:rPr>
          <w:rFonts w:ascii="Arial" w:hAnsi="Arial" w:cs="Arial"/>
        </w:rPr>
        <w:tab/>
      </w:r>
      <w:r w:rsidRPr="00921BDD">
        <w:rPr>
          <w:rFonts w:ascii="Arial" w:hAnsi="Arial" w:cs="Arial"/>
          <w:b/>
        </w:rPr>
        <w:t xml:space="preserve">Plan </w:t>
      </w:r>
      <w:proofErr w:type="gramStart"/>
      <w:r w:rsidRPr="00921BDD">
        <w:rPr>
          <w:rFonts w:ascii="Arial" w:hAnsi="Arial" w:cs="Arial"/>
          <w:b/>
        </w:rPr>
        <w:t>A</w:t>
      </w:r>
      <w:proofErr w:type="gramEnd"/>
      <w:r w:rsidRPr="00921BDD">
        <w:rPr>
          <w:rFonts w:ascii="Arial" w:hAnsi="Arial" w:cs="Arial"/>
        </w:rPr>
        <w:tab/>
      </w:r>
      <w:r w:rsidRPr="00921BDD">
        <w:rPr>
          <w:rFonts w:ascii="Arial" w:hAnsi="Arial" w:cs="Arial"/>
        </w:rPr>
        <w:tab/>
      </w:r>
      <w:r w:rsidRPr="00921BDD">
        <w:rPr>
          <w:rFonts w:ascii="Arial" w:hAnsi="Arial" w:cs="Arial"/>
        </w:rPr>
        <w:tab/>
      </w:r>
      <w:r w:rsidRPr="00921BDD">
        <w:rPr>
          <w:rFonts w:ascii="Arial" w:hAnsi="Arial" w:cs="Arial"/>
          <w:b/>
        </w:rPr>
        <w:t>Plan B</w:t>
      </w:r>
      <w:r w:rsidRPr="00921BDD">
        <w:rPr>
          <w:rFonts w:ascii="Arial" w:hAnsi="Arial" w:cs="Arial"/>
        </w:rPr>
        <w:tab/>
      </w:r>
      <w:r w:rsidRPr="00921BDD">
        <w:rPr>
          <w:rFonts w:ascii="Arial" w:hAnsi="Arial" w:cs="Arial"/>
        </w:rPr>
        <w:tab/>
      </w:r>
      <w:r w:rsidRPr="00921BDD">
        <w:rPr>
          <w:rFonts w:ascii="Arial" w:hAnsi="Arial" w:cs="Arial"/>
          <w:b/>
        </w:rPr>
        <w:t>Plan C</w:t>
      </w:r>
    </w:p>
    <w:p w:rsidR="004D5953" w:rsidRPr="00921BDD" w:rsidRDefault="004D5953" w:rsidP="004D5953">
      <w:pPr>
        <w:pStyle w:val="NoSpacing"/>
        <w:rPr>
          <w:rFonts w:ascii="Arial" w:hAnsi="Arial" w:cs="Arial"/>
        </w:rPr>
      </w:pPr>
      <w:r w:rsidRPr="00921BDD">
        <w:rPr>
          <w:rFonts w:ascii="Arial" w:hAnsi="Arial" w:cs="Arial"/>
        </w:rPr>
        <w:t>Employee</w:t>
      </w:r>
      <w:r w:rsidRPr="00921BDD">
        <w:rPr>
          <w:rFonts w:ascii="Arial" w:hAnsi="Arial" w:cs="Arial"/>
        </w:rPr>
        <w:tab/>
      </w:r>
      <w:r w:rsidRPr="00921BDD">
        <w:rPr>
          <w:rFonts w:ascii="Arial" w:hAnsi="Arial" w:cs="Arial"/>
        </w:rPr>
        <w:tab/>
        <w:t>$1,642</w:t>
      </w:r>
      <w:r w:rsidRPr="00921BDD">
        <w:rPr>
          <w:rFonts w:ascii="Arial" w:hAnsi="Arial" w:cs="Arial"/>
        </w:rPr>
        <w:tab/>
      </w:r>
      <w:r w:rsidRPr="00921BDD">
        <w:rPr>
          <w:rFonts w:ascii="Arial" w:hAnsi="Arial" w:cs="Arial"/>
        </w:rPr>
        <w:tab/>
      </w:r>
      <w:r w:rsidRPr="00921BDD">
        <w:rPr>
          <w:rFonts w:ascii="Arial" w:hAnsi="Arial" w:cs="Arial"/>
        </w:rPr>
        <w:tab/>
        <w:t>$1,304</w:t>
      </w:r>
      <w:r w:rsidRPr="00921BDD">
        <w:rPr>
          <w:rFonts w:ascii="Arial" w:hAnsi="Arial" w:cs="Arial"/>
        </w:rPr>
        <w:tab/>
      </w:r>
      <w:r w:rsidRPr="00921BDD">
        <w:rPr>
          <w:rFonts w:ascii="Arial" w:hAnsi="Arial" w:cs="Arial"/>
        </w:rPr>
        <w:tab/>
        <w:t>$1,045</w:t>
      </w:r>
    </w:p>
    <w:p w:rsidR="004D5953" w:rsidRPr="00921BDD" w:rsidRDefault="004D5953" w:rsidP="004D5953">
      <w:pPr>
        <w:pStyle w:val="NoSpacing"/>
        <w:rPr>
          <w:rFonts w:ascii="Arial" w:hAnsi="Arial" w:cs="Arial"/>
        </w:rPr>
      </w:pPr>
      <w:r w:rsidRPr="00921BDD">
        <w:rPr>
          <w:rFonts w:ascii="Arial" w:hAnsi="Arial" w:cs="Arial"/>
        </w:rPr>
        <w:t>Employee +S</w:t>
      </w:r>
      <w:r w:rsidRPr="00921BDD">
        <w:rPr>
          <w:rFonts w:ascii="Arial" w:hAnsi="Arial" w:cs="Arial"/>
        </w:rPr>
        <w:tab/>
      </w:r>
      <w:r w:rsidRPr="00921BDD">
        <w:rPr>
          <w:rFonts w:ascii="Arial" w:hAnsi="Arial" w:cs="Arial"/>
        </w:rPr>
        <w:tab/>
        <w:t>$4,057</w:t>
      </w:r>
      <w:r w:rsidRPr="00921BDD">
        <w:rPr>
          <w:rFonts w:ascii="Arial" w:hAnsi="Arial" w:cs="Arial"/>
        </w:rPr>
        <w:tab/>
      </w:r>
      <w:r w:rsidRPr="00921BDD">
        <w:rPr>
          <w:rFonts w:ascii="Arial" w:hAnsi="Arial" w:cs="Arial"/>
        </w:rPr>
        <w:tab/>
      </w:r>
      <w:r w:rsidRPr="00921BDD">
        <w:rPr>
          <w:rFonts w:ascii="Arial" w:hAnsi="Arial" w:cs="Arial"/>
        </w:rPr>
        <w:tab/>
        <w:t>$3,393</w:t>
      </w:r>
      <w:r w:rsidRPr="00921BDD">
        <w:rPr>
          <w:rFonts w:ascii="Arial" w:hAnsi="Arial" w:cs="Arial"/>
        </w:rPr>
        <w:tab/>
      </w:r>
      <w:r w:rsidRPr="00921BDD">
        <w:rPr>
          <w:rFonts w:ascii="Arial" w:hAnsi="Arial" w:cs="Arial"/>
        </w:rPr>
        <w:tab/>
        <w:t>$2,885</w:t>
      </w:r>
    </w:p>
    <w:p w:rsidR="004D5953" w:rsidRPr="00921BDD" w:rsidRDefault="004D5953" w:rsidP="004D5953">
      <w:pPr>
        <w:pStyle w:val="NoSpacing"/>
        <w:rPr>
          <w:rFonts w:ascii="Arial" w:hAnsi="Arial" w:cs="Arial"/>
        </w:rPr>
      </w:pPr>
      <w:r w:rsidRPr="00921BDD">
        <w:rPr>
          <w:rFonts w:ascii="Arial" w:hAnsi="Arial" w:cs="Arial"/>
        </w:rPr>
        <w:t>Employee +C</w:t>
      </w:r>
      <w:r w:rsidRPr="00921BDD">
        <w:rPr>
          <w:rFonts w:ascii="Arial" w:hAnsi="Arial" w:cs="Arial"/>
        </w:rPr>
        <w:tab/>
      </w:r>
      <w:r w:rsidRPr="00921BDD">
        <w:rPr>
          <w:rFonts w:ascii="Arial" w:hAnsi="Arial" w:cs="Arial"/>
        </w:rPr>
        <w:tab/>
        <w:t>$3,995</w:t>
      </w:r>
      <w:r w:rsidRPr="00921BDD">
        <w:rPr>
          <w:rFonts w:ascii="Arial" w:hAnsi="Arial" w:cs="Arial"/>
        </w:rPr>
        <w:tab/>
      </w:r>
      <w:r w:rsidRPr="00921BDD">
        <w:rPr>
          <w:rFonts w:ascii="Arial" w:hAnsi="Arial" w:cs="Arial"/>
        </w:rPr>
        <w:tab/>
      </w:r>
      <w:r w:rsidRPr="00921BDD">
        <w:rPr>
          <w:rFonts w:ascii="Arial" w:hAnsi="Arial" w:cs="Arial"/>
        </w:rPr>
        <w:tab/>
        <w:t>$3,393</w:t>
      </w:r>
      <w:r w:rsidRPr="00921BDD">
        <w:rPr>
          <w:rFonts w:ascii="Arial" w:hAnsi="Arial" w:cs="Arial"/>
        </w:rPr>
        <w:tab/>
      </w:r>
      <w:r w:rsidRPr="00921BDD">
        <w:rPr>
          <w:rFonts w:ascii="Arial" w:hAnsi="Arial" w:cs="Arial"/>
        </w:rPr>
        <w:tab/>
        <w:t>$2,932</w:t>
      </w:r>
    </w:p>
    <w:p w:rsidR="004D5953" w:rsidRPr="00921BDD" w:rsidRDefault="004D5953" w:rsidP="004D5953">
      <w:pPr>
        <w:pStyle w:val="NoSpacing"/>
        <w:rPr>
          <w:rFonts w:ascii="Arial" w:hAnsi="Arial" w:cs="Arial"/>
        </w:rPr>
      </w:pPr>
      <w:r w:rsidRPr="00921BDD">
        <w:rPr>
          <w:rFonts w:ascii="Arial" w:hAnsi="Arial" w:cs="Arial"/>
        </w:rPr>
        <w:t>Family</w:t>
      </w:r>
      <w:r w:rsidRPr="00921BDD">
        <w:rPr>
          <w:rFonts w:ascii="Arial" w:hAnsi="Arial" w:cs="Arial"/>
        </w:rPr>
        <w:tab/>
      </w:r>
      <w:r w:rsidRPr="00921BDD">
        <w:rPr>
          <w:rFonts w:ascii="Arial" w:hAnsi="Arial" w:cs="Arial"/>
        </w:rPr>
        <w:tab/>
      </w:r>
      <w:r w:rsidRPr="00921BDD">
        <w:rPr>
          <w:rFonts w:ascii="Arial" w:hAnsi="Arial" w:cs="Arial"/>
        </w:rPr>
        <w:tab/>
        <w:t>$6,408</w:t>
      </w:r>
      <w:r w:rsidRPr="00921BDD">
        <w:rPr>
          <w:rFonts w:ascii="Arial" w:hAnsi="Arial" w:cs="Arial"/>
        </w:rPr>
        <w:tab/>
      </w:r>
      <w:r w:rsidRPr="00921BDD">
        <w:rPr>
          <w:rFonts w:ascii="Arial" w:hAnsi="Arial" w:cs="Arial"/>
        </w:rPr>
        <w:tab/>
      </w:r>
      <w:r w:rsidRPr="00921BDD">
        <w:rPr>
          <w:rFonts w:ascii="Arial" w:hAnsi="Arial" w:cs="Arial"/>
        </w:rPr>
        <w:tab/>
        <w:t>$5,480</w:t>
      </w:r>
      <w:r w:rsidRPr="00921BDD">
        <w:rPr>
          <w:rFonts w:ascii="Arial" w:hAnsi="Arial" w:cs="Arial"/>
        </w:rPr>
        <w:tab/>
      </w:r>
      <w:r w:rsidRPr="00921BDD">
        <w:rPr>
          <w:rFonts w:ascii="Arial" w:hAnsi="Arial" w:cs="Arial"/>
        </w:rPr>
        <w:tab/>
        <w:t>$4,770</w:t>
      </w:r>
    </w:p>
    <w:p w:rsidR="004D5953" w:rsidRPr="00921BDD" w:rsidRDefault="004D5953" w:rsidP="004D5953">
      <w:pPr>
        <w:pStyle w:val="NoSpacing"/>
        <w:rPr>
          <w:rFonts w:ascii="Arial" w:hAnsi="Arial" w:cs="Arial"/>
        </w:rPr>
      </w:pPr>
    </w:p>
    <w:p w:rsidR="004D5953" w:rsidRPr="00921BDD" w:rsidRDefault="004D5953" w:rsidP="004D5953">
      <w:pPr>
        <w:pStyle w:val="NoSpacing"/>
        <w:rPr>
          <w:rFonts w:ascii="Arial" w:hAnsi="Arial" w:cs="Arial"/>
        </w:rPr>
      </w:pPr>
      <w:r w:rsidRPr="00921BDD">
        <w:rPr>
          <w:rFonts w:ascii="Arial" w:hAnsi="Arial" w:cs="Arial"/>
        </w:rPr>
        <w:t xml:space="preserve">The 2017 in-network deductible and in-network out-of-pocket maximums incurred as of 6/30/17 will carry over from the current plan to the new plan. </w:t>
      </w:r>
    </w:p>
    <w:p w:rsidR="004D5953" w:rsidRPr="00921BDD" w:rsidRDefault="004D5953" w:rsidP="004D5953">
      <w:pPr>
        <w:pStyle w:val="NoSpacing"/>
        <w:rPr>
          <w:rFonts w:ascii="Arial" w:hAnsi="Arial" w:cs="Arial"/>
        </w:rPr>
      </w:pPr>
    </w:p>
    <w:p w:rsidR="004D5953" w:rsidRPr="00921BDD" w:rsidRDefault="004D5953" w:rsidP="004D5953">
      <w:pPr>
        <w:pStyle w:val="NoSpacing"/>
        <w:numPr>
          <w:ilvl w:val="0"/>
          <w:numId w:val="2"/>
        </w:numPr>
        <w:rPr>
          <w:rFonts w:ascii="Arial" w:hAnsi="Arial" w:cs="Arial"/>
        </w:rPr>
      </w:pPr>
      <w:r w:rsidRPr="00921BDD">
        <w:rPr>
          <w:rFonts w:ascii="Arial" w:hAnsi="Arial" w:cs="Arial"/>
        </w:rPr>
        <w:t>Dental/Vision insurance will remain the same for all full-time employees.</w:t>
      </w:r>
    </w:p>
    <w:p w:rsidR="004D5953" w:rsidRPr="00921BDD" w:rsidRDefault="004D5953" w:rsidP="004D5953">
      <w:pPr>
        <w:pStyle w:val="NoSpacing"/>
        <w:rPr>
          <w:rFonts w:ascii="Arial" w:hAnsi="Arial" w:cs="Arial"/>
        </w:rPr>
      </w:pPr>
    </w:p>
    <w:p w:rsidR="004D5953" w:rsidRPr="00921BDD" w:rsidRDefault="004D5953" w:rsidP="004D5953">
      <w:pPr>
        <w:pStyle w:val="NoSpacing"/>
        <w:numPr>
          <w:ilvl w:val="0"/>
          <w:numId w:val="2"/>
        </w:numPr>
        <w:rPr>
          <w:rFonts w:ascii="Arial" w:hAnsi="Arial" w:cs="Arial"/>
        </w:rPr>
      </w:pPr>
      <w:r w:rsidRPr="00921BDD">
        <w:rPr>
          <w:rFonts w:ascii="Arial" w:hAnsi="Arial" w:cs="Arial"/>
        </w:rPr>
        <w:t xml:space="preserve">All other provisions of the contract will remain unchanged until a successor agreement </w:t>
      </w:r>
      <w:proofErr w:type="gramStart"/>
      <w:r w:rsidRPr="00921BDD">
        <w:rPr>
          <w:rFonts w:ascii="Arial" w:hAnsi="Arial" w:cs="Arial"/>
        </w:rPr>
        <w:t>is negotiated and ratified by the parties</w:t>
      </w:r>
      <w:proofErr w:type="gramEnd"/>
      <w:r w:rsidRPr="00921BDD">
        <w:rPr>
          <w:rFonts w:ascii="Arial" w:hAnsi="Arial" w:cs="Arial"/>
        </w:rPr>
        <w:t>.</w:t>
      </w:r>
    </w:p>
    <w:p w:rsidR="004D5953" w:rsidRPr="00921BDD" w:rsidRDefault="004D5953" w:rsidP="004D5953">
      <w:pPr>
        <w:pStyle w:val="NoSpacing"/>
        <w:rPr>
          <w:rFonts w:ascii="Arial" w:hAnsi="Arial" w:cs="Arial"/>
          <w:b/>
          <w:i/>
          <w:color w:val="000000" w:themeColor="text1"/>
        </w:rPr>
      </w:pPr>
    </w:p>
    <w:p w:rsidR="004D5953" w:rsidRPr="00921BDD" w:rsidRDefault="004D5953" w:rsidP="004D5953">
      <w:pPr>
        <w:jc w:val="both"/>
        <w:rPr>
          <w:rFonts w:ascii="Arial" w:hAnsi="Arial" w:cs="Arial"/>
          <w:i/>
          <w:color w:val="000000" w:themeColor="text1"/>
          <w:sz w:val="22"/>
          <w:szCs w:val="22"/>
        </w:rPr>
      </w:pPr>
    </w:p>
    <w:p w:rsidR="004D5953" w:rsidRPr="00921BDD" w:rsidRDefault="004D5953" w:rsidP="004D5953">
      <w:pPr>
        <w:jc w:val="both"/>
        <w:rPr>
          <w:rFonts w:ascii="Arial" w:hAnsi="Arial" w:cs="Arial"/>
          <w:i/>
          <w:color w:val="000000" w:themeColor="text1"/>
          <w:sz w:val="22"/>
          <w:szCs w:val="22"/>
        </w:rPr>
      </w:pPr>
      <w:r w:rsidRPr="00921BDD">
        <w:rPr>
          <w:rFonts w:ascii="Arial" w:hAnsi="Arial" w:cs="Arial"/>
          <w:i/>
          <w:color w:val="000000" w:themeColor="text1"/>
          <w:sz w:val="22"/>
          <w:szCs w:val="22"/>
        </w:rPr>
        <w:t>SVCC FA, IEA-NEA:</w:t>
      </w: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t>SVCC District #504 Board of Trustees:</w:t>
      </w:r>
      <w:r w:rsidRPr="00921BDD">
        <w:rPr>
          <w:rFonts w:ascii="Arial" w:hAnsi="Arial" w:cs="Arial"/>
          <w:i/>
          <w:color w:val="000000" w:themeColor="text1"/>
          <w:sz w:val="22"/>
          <w:szCs w:val="22"/>
        </w:rPr>
        <w:tab/>
      </w:r>
    </w:p>
    <w:p w:rsidR="004D5953" w:rsidRPr="00921BDD" w:rsidRDefault="004D5953" w:rsidP="004D5953">
      <w:pPr>
        <w:jc w:val="both"/>
        <w:rPr>
          <w:rFonts w:ascii="Arial" w:hAnsi="Arial" w:cs="Arial"/>
          <w:i/>
          <w:color w:val="000000" w:themeColor="text1"/>
          <w:sz w:val="22"/>
          <w:szCs w:val="22"/>
        </w:rPr>
      </w:pPr>
    </w:p>
    <w:p w:rsidR="004D5953" w:rsidRPr="00921BDD" w:rsidRDefault="004D5953" w:rsidP="004D5953">
      <w:pPr>
        <w:jc w:val="both"/>
        <w:rPr>
          <w:rFonts w:ascii="Arial" w:hAnsi="Arial" w:cs="Arial"/>
          <w:i/>
          <w:color w:val="000000" w:themeColor="text1"/>
          <w:sz w:val="22"/>
          <w:szCs w:val="22"/>
        </w:rPr>
      </w:pP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r>
      <w:r w:rsidRPr="00921BDD">
        <w:rPr>
          <w:rFonts w:ascii="Arial" w:hAnsi="Arial" w:cs="Arial"/>
          <w:i/>
          <w:color w:val="000000" w:themeColor="text1"/>
          <w:sz w:val="22"/>
          <w:szCs w:val="22"/>
        </w:rPr>
        <w:tab/>
      </w:r>
    </w:p>
    <w:p w:rsidR="004D5953" w:rsidRPr="00921BDD"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__________________________________</w:t>
      </w:r>
      <w:r w:rsidRPr="00921BDD">
        <w:rPr>
          <w:rFonts w:ascii="Arial" w:hAnsi="Arial" w:cs="Arial"/>
          <w:color w:val="000000" w:themeColor="text1"/>
          <w:sz w:val="22"/>
          <w:szCs w:val="22"/>
        </w:rPr>
        <w:tab/>
      </w:r>
      <w:r w:rsidRPr="00921BDD">
        <w:rPr>
          <w:rFonts w:ascii="Arial" w:hAnsi="Arial" w:cs="Arial"/>
          <w:color w:val="000000" w:themeColor="text1"/>
          <w:sz w:val="22"/>
          <w:szCs w:val="22"/>
        </w:rPr>
        <w:tab/>
        <w:t>___________________________________</w:t>
      </w:r>
    </w:p>
    <w:p w:rsidR="004D5953" w:rsidRPr="00921BDD"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President</w:t>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Pr>
          <w:rFonts w:ascii="Arial" w:hAnsi="Arial" w:cs="Arial"/>
          <w:color w:val="000000" w:themeColor="text1"/>
          <w:sz w:val="22"/>
          <w:szCs w:val="22"/>
        </w:rPr>
        <w:t>Chair</w:t>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p>
    <w:p w:rsidR="004D5953" w:rsidRPr="00921BDD" w:rsidRDefault="004D5953" w:rsidP="004D5953">
      <w:pPr>
        <w:jc w:val="both"/>
        <w:rPr>
          <w:rFonts w:ascii="Arial" w:hAnsi="Arial" w:cs="Arial"/>
          <w:color w:val="000000" w:themeColor="text1"/>
          <w:sz w:val="22"/>
          <w:szCs w:val="22"/>
        </w:rPr>
      </w:pPr>
    </w:p>
    <w:p w:rsidR="004D5953" w:rsidRPr="00921BDD"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ab/>
      </w:r>
    </w:p>
    <w:p w:rsidR="004D5953" w:rsidRPr="00921BDD"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Date: _____________________________</w:t>
      </w:r>
      <w:r w:rsidRPr="00921BDD">
        <w:rPr>
          <w:rFonts w:ascii="Arial" w:hAnsi="Arial" w:cs="Arial"/>
          <w:color w:val="000000" w:themeColor="text1"/>
          <w:sz w:val="22"/>
          <w:szCs w:val="22"/>
        </w:rPr>
        <w:tab/>
      </w:r>
      <w:r w:rsidRPr="00921BDD">
        <w:rPr>
          <w:rFonts w:ascii="Arial" w:hAnsi="Arial" w:cs="Arial"/>
          <w:color w:val="000000" w:themeColor="text1"/>
          <w:sz w:val="22"/>
          <w:szCs w:val="22"/>
        </w:rPr>
        <w:tab/>
        <w:t>Date: ______________________________</w:t>
      </w:r>
    </w:p>
    <w:p w:rsidR="004D5953" w:rsidRPr="00921BDD" w:rsidRDefault="004D5953" w:rsidP="004D5953">
      <w:pPr>
        <w:jc w:val="both"/>
        <w:rPr>
          <w:rFonts w:ascii="Arial" w:hAnsi="Arial" w:cs="Arial"/>
          <w:color w:val="000000" w:themeColor="text1"/>
          <w:sz w:val="22"/>
          <w:szCs w:val="22"/>
        </w:rPr>
      </w:pPr>
    </w:p>
    <w:p w:rsidR="004D5953" w:rsidRPr="00921BDD" w:rsidRDefault="004D5953" w:rsidP="004D5953">
      <w:pPr>
        <w:jc w:val="both"/>
        <w:rPr>
          <w:rFonts w:ascii="Arial" w:hAnsi="Arial" w:cs="Arial"/>
          <w:color w:val="000000" w:themeColor="text1"/>
          <w:sz w:val="22"/>
          <w:szCs w:val="22"/>
        </w:rPr>
      </w:pPr>
    </w:p>
    <w:p w:rsidR="004D5953" w:rsidRPr="00921BDD" w:rsidRDefault="004D5953" w:rsidP="004D5953">
      <w:pPr>
        <w:ind w:left="4320" w:firstLine="720"/>
        <w:jc w:val="both"/>
        <w:rPr>
          <w:rFonts w:ascii="Arial" w:hAnsi="Arial" w:cs="Arial"/>
          <w:color w:val="000000" w:themeColor="text1"/>
          <w:sz w:val="22"/>
          <w:szCs w:val="22"/>
        </w:rPr>
      </w:pPr>
      <w:r w:rsidRPr="00921BDD">
        <w:rPr>
          <w:rFonts w:ascii="Arial" w:hAnsi="Arial" w:cs="Arial"/>
          <w:color w:val="000000" w:themeColor="text1"/>
          <w:sz w:val="22"/>
          <w:szCs w:val="22"/>
        </w:rPr>
        <w:t>___________________________________</w:t>
      </w:r>
    </w:p>
    <w:p w:rsidR="004D5953" w:rsidRPr="00921BDD"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t>Secretary</w:t>
      </w:r>
    </w:p>
    <w:p w:rsidR="004D5953" w:rsidRPr="00921BDD" w:rsidRDefault="004D5953" w:rsidP="004D5953">
      <w:pPr>
        <w:jc w:val="both"/>
        <w:rPr>
          <w:rFonts w:ascii="Arial" w:hAnsi="Arial" w:cs="Arial"/>
          <w:color w:val="000000" w:themeColor="text1"/>
          <w:sz w:val="22"/>
          <w:szCs w:val="22"/>
        </w:rPr>
      </w:pPr>
    </w:p>
    <w:p w:rsidR="004D5953" w:rsidRPr="00921BDD" w:rsidRDefault="004D5953" w:rsidP="004D5953">
      <w:pPr>
        <w:jc w:val="both"/>
        <w:rPr>
          <w:rFonts w:ascii="Arial" w:hAnsi="Arial" w:cs="Arial"/>
          <w:color w:val="000000" w:themeColor="text1"/>
          <w:sz w:val="22"/>
          <w:szCs w:val="22"/>
        </w:rPr>
      </w:pPr>
    </w:p>
    <w:p w:rsidR="004D5953" w:rsidRPr="004D5953" w:rsidRDefault="004D5953" w:rsidP="004D5953">
      <w:pPr>
        <w:jc w:val="both"/>
        <w:rPr>
          <w:rFonts w:ascii="Arial" w:hAnsi="Arial" w:cs="Arial"/>
          <w:color w:val="000000" w:themeColor="text1"/>
          <w:sz w:val="22"/>
          <w:szCs w:val="22"/>
        </w:rPr>
      </w:pP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r>
      <w:r w:rsidRPr="00921BDD">
        <w:rPr>
          <w:rFonts w:ascii="Arial" w:hAnsi="Arial" w:cs="Arial"/>
          <w:color w:val="000000" w:themeColor="text1"/>
          <w:sz w:val="22"/>
          <w:szCs w:val="22"/>
        </w:rPr>
        <w:tab/>
        <w:t>Date: ______________________________</w:t>
      </w:r>
    </w:p>
    <w:sectPr w:rsidR="004D5953" w:rsidRPr="004D5953"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522058F"/>
    <w:multiLevelType w:val="hybridMultilevel"/>
    <w:tmpl w:val="31BC6DC8"/>
    <w:lvl w:ilvl="0" w:tplc="5C2C9D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B4728"/>
    <w:rsid w:val="000D5353"/>
    <w:rsid w:val="001043B9"/>
    <w:rsid w:val="001457A6"/>
    <w:rsid w:val="0015005D"/>
    <w:rsid w:val="00151A7D"/>
    <w:rsid w:val="00156E8E"/>
    <w:rsid w:val="00177618"/>
    <w:rsid w:val="001E1860"/>
    <w:rsid w:val="00236843"/>
    <w:rsid w:val="00237AC8"/>
    <w:rsid w:val="00245D15"/>
    <w:rsid w:val="002A5CCB"/>
    <w:rsid w:val="002D02C8"/>
    <w:rsid w:val="00301AAC"/>
    <w:rsid w:val="00310E47"/>
    <w:rsid w:val="00325D2B"/>
    <w:rsid w:val="00344735"/>
    <w:rsid w:val="00442308"/>
    <w:rsid w:val="00455509"/>
    <w:rsid w:val="0048150F"/>
    <w:rsid w:val="004928D7"/>
    <w:rsid w:val="004A581B"/>
    <w:rsid w:val="004D5953"/>
    <w:rsid w:val="004F2D03"/>
    <w:rsid w:val="00520577"/>
    <w:rsid w:val="00544383"/>
    <w:rsid w:val="00561C90"/>
    <w:rsid w:val="005A6553"/>
    <w:rsid w:val="005C6C1D"/>
    <w:rsid w:val="005D524B"/>
    <w:rsid w:val="005D535A"/>
    <w:rsid w:val="00601FD6"/>
    <w:rsid w:val="006310CE"/>
    <w:rsid w:val="0068110F"/>
    <w:rsid w:val="00690DAE"/>
    <w:rsid w:val="00692061"/>
    <w:rsid w:val="006966D5"/>
    <w:rsid w:val="006C006E"/>
    <w:rsid w:val="006E0D14"/>
    <w:rsid w:val="007071F9"/>
    <w:rsid w:val="0073443D"/>
    <w:rsid w:val="00745459"/>
    <w:rsid w:val="008134F9"/>
    <w:rsid w:val="00814D91"/>
    <w:rsid w:val="00865BBA"/>
    <w:rsid w:val="008C7918"/>
    <w:rsid w:val="00930B91"/>
    <w:rsid w:val="00957255"/>
    <w:rsid w:val="00961D4B"/>
    <w:rsid w:val="0099013D"/>
    <w:rsid w:val="009A7664"/>
    <w:rsid w:val="009C7B86"/>
    <w:rsid w:val="009F2E79"/>
    <w:rsid w:val="00A023A4"/>
    <w:rsid w:val="00A41BF9"/>
    <w:rsid w:val="00A46834"/>
    <w:rsid w:val="00A823FF"/>
    <w:rsid w:val="00AB5287"/>
    <w:rsid w:val="00AD6110"/>
    <w:rsid w:val="00AE478C"/>
    <w:rsid w:val="00AF2FA7"/>
    <w:rsid w:val="00B149A6"/>
    <w:rsid w:val="00B438BD"/>
    <w:rsid w:val="00BE699F"/>
    <w:rsid w:val="00C108AB"/>
    <w:rsid w:val="00C21C31"/>
    <w:rsid w:val="00C27C0C"/>
    <w:rsid w:val="00C678BB"/>
    <w:rsid w:val="00CA778F"/>
    <w:rsid w:val="00CB01F6"/>
    <w:rsid w:val="00CB4820"/>
    <w:rsid w:val="00CC5372"/>
    <w:rsid w:val="00CE38A0"/>
    <w:rsid w:val="00D23DC4"/>
    <w:rsid w:val="00D554AA"/>
    <w:rsid w:val="00DF5585"/>
    <w:rsid w:val="00DF5A8E"/>
    <w:rsid w:val="00E57538"/>
    <w:rsid w:val="00E67C41"/>
    <w:rsid w:val="00F05981"/>
    <w:rsid w:val="00F44EDB"/>
    <w:rsid w:val="00F52AD7"/>
    <w:rsid w:val="00F848E3"/>
    <w:rsid w:val="00F92059"/>
    <w:rsid w:val="00FA0698"/>
    <w:rsid w:val="00FC1A5E"/>
    <w:rsid w:val="00FC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3390B"/>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 w:type="paragraph" w:styleId="NoSpacing">
    <w:name w:val="No Spacing"/>
    <w:uiPriority w:val="1"/>
    <w:qFormat/>
    <w:rsid w:val="004F2D03"/>
    <w:rPr>
      <w:rFonts w:asciiTheme="minorHAnsi" w:eastAsiaTheme="minorEastAsia" w:hAnsiTheme="minorHAnsi" w:cstheme="minorBidi"/>
      <w:sz w:val="22"/>
      <w:szCs w:val="22"/>
    </w:rPr>
  </w:style>
  <w:style w:type="table" w:styleId="TableGrid">
    <w:name w:val="Table Grid"/>
    <w:basedOn w:val="TableNormal"/>
    <w:uiPriority w:val="39"/>
    <w:rsid w:val="004D59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7</cp:revision>
  <cp:lastPrinted>2014-08-19T15:22:00Z</cp:lastPrinted>
  <dcterms:created xsi:type="dcterms:W3CDTF">2017-05-16T18:57:00Z</dcterms:created>
  <dcterms:modified xsi:type="dcterms:W3CDTF">2017-05-17T18:51:00Z</dcterms:modified>
</cp:coreProperties>
</file>