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0B" w:rsidRDefault="0024620B" w:rsidP="0024620B">
      <w:pPr>
        <w:jc w:val="center"/>
        <w:rPr>
          <w:b/>
        </w:rPr>
      </w:pPr>
      <w:bookmarkStart w:id="0" w:name="_GoBack"/>
      <w:bookmarkEnd w:id="0"/>
      <w:r>
        <w:rPr>
          <w:b/>
        </w:rPr>
        <w:t>Sauk Valley Community College</w:t>
      </w:r>
    </w:p>
    <w:p w:rsidR="0024620B" w:rsidRDefault="0024620B" w:rsidP="0024620B">
      <w:pPr>
        <w:jc w:val="center"/>
        <w:rPr>
          <w:b/>
        </w:rPr>
      </w:pPr>
      <w:r>
        <w:rPr>
          <w:b/>
        </w:rPr>
        <w:t>Ju</w:t>
      </w:r>
      <w:r w:rsidR="000D4767">
        <w:rPr>
          <w:b/>
        </w:rPr>
        <w:t>ne 24, 2019</w:t>
      </w:r>
    </w:p>
    <w:p w:rsidR="0024620B" w:rsidRDefault="0024620B" w:rsidP="0024620B">
      <w:pPr>
        <w:jc w:val="center"/>
        <w:rPr>
          <w:b/>
        </w:rPr>
      </w:pPr>
    </w:p>
    <w:p w:rsidR="0024620B" w:rsidRDefault="0024620B" w:rsidP="0024620B">
      <w:pPr>
        <w:jc w:val="center"/>
        <w:rPr>
          <w:b/>
        </w:rPr>
      </w:pPr>
    </w:p>
    <w:p w:rsidR="0024620B" w:rsidRDefault="0024620B" w:rsidP="0024620B">
      <w:pPr>
        <w:jc w:val="right"/>
      </w:pPr>
      <w:r>
        <w:rPr>
          <w:b/>
          <w:u w:val="single"/>
        </w:rPr>
        <w:t xml:space="preserve">Action Item </w:t>
      </w:r>
      <w:r w:rsidR="000D4767">
        <w:rPr>
          <w:b/>
          <w:u w:val="single"/>
        </w:rPr>
        <w:t>x.x</w:t>
      </w:r>
    </w:p>
    <w:p w:rsidR="0024620B" w:rsidRDefault="0024620B" w:rsidP="0024620B"/>
    <w:p w:rsidR="0024620B" w:rsidRDefault="0024620B" w:rsidP="0024620B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 xml:space="preserve">Educational Lab </w:t>
      </w:r>
      <w:r w:rsidRPr="00CE41BB">
        <w:rPr>
          <w:b/>
        </w:rPr>
        <w:t>and Employee Computer</w:t>
      </w:r>
      <w:r w:rsidR="000D4767">
        <w:rPr>
          <w:b/>
        </w:rPr>
        <w:t xml:space="preserve"> and Network</w:t>
      </w:r>
      <w:r w:rsidRPr="00CE41BB">
        <w:rPr>
          <w:b/>
        </w:rPr>
        <w:t xml:space="preserve"> Replacement</w:t>
      </w:r>
      <w:r>
        <w:rPr>
          <w:b/>
        </w:rPr>
        <w:tab/>
      </w:r>
    </w:p>
    <w:p w:rsidR="0024620B" w:rsidRDefault="0024620B" w:rsidP="0024620B">
      <w:pPr>
        <w:ind w:left="2160" w:hanging="2160"/>
        <w:rPr>
          <w:b/>
        </w:rPr>
      </w:pPr>
    </w:p>
    <w:p w:rsidR="0024620B" w:rsidRDefault="0024620B" w:rsidP="0024620B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  <w:t xml:space="preserve">Goal 1 – </w:t>
      </w:r>
      <w:r w:rsidRPr="00790E2D">
        <w:rPr>
          <w:b/>
        </w:rPr>
        <w:t>Increase Access to Educational Opportunities</w:t>
      </w:r>
      <w:r>
        <w:rPr>
          <w:b/>
        </w:rPr>
        <w:t xml:space="preserve">.  </w:t>
      </w:r>
    </w:p>
    <w:p w:rsidR="0024620B" w:rsidRDefault="0024620B" w:rsidP="0024620B">
      <w:pPr>
        <w:ind w:left="2160" w:hanging="2160"/>
        <w:rPr>
          <w:b/>
        </w:rPr>
      </w:pPr>
    </w:p>
    <w:p w:rsidR="0024620B" w:rsidRDefault="0024620B" w:rsidP="0024620B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  <w:t xml:space="preserve"> Dr. David Hellmich and Eric Epps</w:t>
      </w:r>
    </w:p>
    <w:p w:rsidR="0024620B" w:rsidRDefault="0024620B" w:rsidP="0024620B">
      <w:pPr>
        <w:rPr>
          <w:b/>
        </w:rPr>
      </w:pPr>
    </w:p>
    <w:p w:rsidR="0024620B" w:rsidRDefault="0024620B" w:rsidP="0024620B">
      <w:pPr>
        <w:rPr>
          <w:b/>
        </w:rPr>
      </w:pPr>
      <w:r>
        <w:rPr>
          <w:b/>
        </w:rPr>
        <w:t xml:space="preserve">Presentation:   </w:t>
      </w:r>
      <w:r>
        <w:rPr>
          <w:b/>
        </w:rPr>
        <w:tab/>
      </w:r>
    </w:p>
    <w:p w:rsidR="0024620B" w:rsidRDefault="0024620B" w:rsidP="0024620B">
      <w:pPr>
        <w:ind w:firstLine="360"/>
      </w:pPr>
      <w:r>
        <w:t>The College seeks to purchase the technology below to upgrade the capabilities of the educational compute</w:t>
      </w:r>
      <w:r w:rsidR="00836DD7">
        <w:t xml:space="preserve">r labs and employee computers. </w:t>
      </w:r>
      <w:r w:rsidR="000D4767">
        <w:t>Purchasing additional memory will extend t</w:t>
      </w:r>
      <w:r w:rsidR="00836DD7">
        <w:t xml:space="preserve">he useful life of many of these desktop computer systems so they can be repurposed </w:t>
      </w:r>
      <w:r w:rsidR="000D4767">
        <w:t>in other areas</w:t>
      </w:r>
      <w:r>
        <w:t>.</w:t>
      </w:r>
      <w:r w:rsidR="000D4767">
        <w:t xml:space="preserve"> </w:t>
      </w:r>
    </w:p>
    <w:p w:rsidR="0024620B" w:rsidRDefault="0024620B" w:rsidP="0024620B"/>
    <w:p w:rsidR="0024620B" w:rsidRDefault="00836DD7" w:rsidP="0024620B">
      <w:pPr>
        <w:numPr>
          <w:ilvl w:val="0"/>
          <w:numId w:val="5"/>
        </w:numPr>
      </w:pPr>
      <w:r>
        <w:t>Ninety</w:t>
      </w:r>
      <w:r w:rsidR="0024620B">
        <w:t xml:space="preserve"> (</w:t>
      </w:r>
      <w:r>
        <w:t>90</w:t>
      </w:r>
      <w:r w:rsidR="0024620B">
        <w:t>) desktop computers to replace aging or failed hardware in educatio</w:t>
      </w:r>
      <w:r>
        <w:t>nal labs and employee computers,</w:t>
      </w:r>
    </w:p>
    <w:p w:rsidR="0024620B" w:rsidRDefault="00836DD7" w:rsidP="0024620B">
      <w:pPr>
        <w:numPr>
          <w:ilvl w:val="0"/>
          <w:numId w:val="5"/>
        </w:numPr>
      </w:pPr>
      <w:r>
        <w:t>Nineteen</w:t>
      </w:r>
      <w:r w:rsidR="0024620B">
        <w:t xml:space="preserve"> (1</w:t>
      </w:r>
      <w:r>
        <w:t>9</w:t>
      </w:r>
      <w:r w:rsidR="0024620B">
        <w:t>) laptop computers and peripherals to replace aging or failed hardware in check-out labs</w:t>
      </w:r>
      <w:r>
        <w:t xml:space="preserve"> and employee computers,</w:t>
      </w:r>
    </w:p>
    <w:p w:rsidR="00836DD7" w:rsidRDefault="00836DD7" w:rsidP="00836DD7">
      <w:pPr>
        <w:numPr>
          <w:ilvl w:val="0"/>
          <w:numId w:val="5"/>
        </w:numPr>
      </w:pPr>
      <w:r>
        <w:t>Fourty (40) monitors to replace aging or failed hardware in educational labs and employee computers,</w:t>
      </w:r>
    </w:p>
    <w:p w:rsidR="00836DD7" w:rsidRDefault="00836DD7" w:rsidP="0024620B">
      <w:pPr>
        <w:numPr>
          <w:ilvl w:val="0"/>
          <w:numId w:val="5"/>
        </w:numPr>
      </w:pPr>
      <w:r>
        <w:t>Additional memory to extend the life of hardware so they can be repurposed, and</w:t>
      </w:r>
    </w:p>
    <w:p w:rsidR="00836DD7" w:rsidRDefault="00836DD7" w:rsidP="0024620B">
      <w:pPr>
        <w:numPr>
          <w:ilvl w:val="0"/>
          <w:numId w:val="5"/>
        </w:numPr>
      </w:pPr>
      <w:r>
        <w:t>Twelve Cisco switches to replace aging or failed network hardware.</w:t>
      </w:r>
    </w:p>
    <w:p w:rsidR="0024620B" w:rsidRDefault="0024620B" w:rsidP="0024620B"/>
    <w:p w:rsidR="0024620B" w:rsidRDefault="0024620B" w:rsidP="0024620B">
      <w:pPr>
        <w:ind w:firstLine="360"/>
      </w:pPr>
      <w:r>
        <w:t xml:space="preserve">All items were quoted under </w:t>
      </w:r>
      <w:r w:rsidR="00D9707A">
        <w:t xml:space="preserve">two </w:t>
      </w:r>
      <w:r>
        <w:t>state contracts: IPHEC N1 Computer Peripherals Contract (1DGS1306)</w:t>
      </w:r>
      <w:r w:rsidR="00D9707A">
        <w:t xml:space="preserve"> and</w:t>
      </w:r>
      <w:r w:rsidR="00836DD7">
        <w:t xml:space="preserve"> </w:t>
      </w:r>
      <w:r>
        <w:t>IPA Technology Soluti</w:t>
      </w:r>
      <w:r w:rsidR="00D9707A">
        <w:t>ons Education Contract (130733</w:t>
      </w:r>
      <w:r w:rsidR="006104C6">
        <w:t>)</w:t>
      </w:r>
      <w:r w:rsidR="006104C6" w:rsidRPr="006104C6">
        <w:t xml:space="preserve"> </w:t>
      </w:r>
      <w:r w:rsidR="006104C6">
        <w:t>with vendor CDWG, 230 North Milwaukee Ave., Vernon Hills, IL 60061.</w:t>
      </w:r>
      <w:r w:rsidR="00D9707A">
        <w:t xml:space="preserve"> Cisco switches were </w:t>
      </w:r>
      <w:r w:rsidR="006104C6">
        <w:t xml:space="preserve">also </w:t>
      </w:r>
      <w:r w:rsidR="00C253FE">
        <w:t>quoted</w:t>
      </w:r>
      <w:r w:rsidR="00D9707A">
        <w:t xml:space="preserve"> under</w:t>
      </w:r>
      <w:r w:rsidR="00836DD7">
        <w:t xml:space="preserve"> Statewide Master for Cisco Products (CMS7891190)</w:t>
      </w:r>
      <w:r w:rsidR="00D9707A">
        <w:t xml:space="preserve">. </w:t>
      </w:r>
    </w:p>
    <w:p w:rsidR="0024620B" w:rsidRDefault="0024620B" w:rsidP="0024620B"/>
    <w:p w:rsidR="0024620B" w:rsidRPr="00C355D7" w:rsidRDefault="0024620B" w:rsidP="0024620B">
      <w:pPr>
        <w:rPr>
          <w:b/>
        </w:rPr>
      </w:pPr>
      <w:r>
        <w:rPr>
          <w:b/>
        </w:rPr>
        <w:t>Total request to be paid by funding bonds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  <w:gridCol w:w="1800"/>
      </w:tblGrid>
      <w:tr w:rsidR="0024620B" w:rsidTr="000E133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20B" w:rsidRPr="00CE41BB" w:rsidRDefault="000D4767" w:rsidP="000E133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90</w:t>
            </w:r>
            <w:r w:rsidR="0024620B" w:rsidRPr="00CE41BB">
              <w:rPr>
                <w:rFonts w:eastAsia="Calibri"/>
                <w:szCs w:val="22"/>
              </w:rPr>
              <w:t xml:space="preserve"> Desktop Computers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20B" w:rsidRPr="00CE41BB" w:rsidRDefault="0024620B" w:rsidP="000D4767">
            <w:pPr>
              <w:ind w:right="250"/>
              <w:jc w:val="right"/>
              <w:rPr>
                <w:rFonts w:eastAsia="Calibri"/>
                <w:szCs w:val="22"/>
              </w:rPr>
            </w:pPr>
            <w:r w:rsidRPr="00CE41BB">
              <w:rPr>
                <w:rFonts w:eastAsia="Calibri"/>
                <w:szCs w:val="22"/>
              </w:rPr>
              <w:t>$</w:t>
            </w:r>
            <w:r w:rsidR="000D4767">
              <w:rPr>
                <w:rFonts w:eastAsia="Calibri"/>
                <w:szCs w:val="22"/>
              </w:rPr>
              <w:t>72,374.40</w:t>
            </w:r>
          </w:p>
        </w:tc>
      </w:tr>
      <w:tr w:rsidR="0024620B" w:rsidTr="000E133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20B" w:rsidRPr="00CE41BB" w:rsidRDefault="000D4767" w:rsidP="000E133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19</w:t>
            </w:r>
            <w:r w:rsidR="0024620B">
              <w:rPr>
                <w:rFonts w:eastAsia="Calibri"/>
                <w:szCs w:val="22"/>
              </w:rPr>
              <w:t xml:space="preserve"> Laptop Computers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20B" w:rsidRPr="00CE41BB" w:rsidRDefault="0024620B" w:rsidP="000D4767">
            <w:pPr>
              <w:ind w:right="250"/>
              <w:jc w:val="righ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$</w:t>
            </w:r>
            <w:r w:rsidR="000D4767">
              <w:rPr>
                <w:rFonts w:eastAsia="Calibri"/>
                <w:szCs w:val="22"/>
              </w:rPr>
              <w:t>25,361.66</w:t>
            </w:r>
          </w:p>
        </w:tc>
      </w:tr>
      <w:tr w:rsidR="000D4767" w:rsidTr="000E1331">
        <w:tc>
          <w:tcPr>
            <w:tcW w:w="4158" w:type="dxa"/>
            <w:shd w:val="clear" w:color="auto" w:fill="auto"/>
          </w:tcPr>
          <w:p w:rsidR="000D4767" w:rsidRPr="000D4767" w:rsidRDefault="000D4767" w:rsidP="000E1331">
            <w:pPr>
              <w:rPr>
                <w:rFonts w:eastAsia="Calibri"/>
                <w:szCs w:val="22"/>
              </w:rPr>
            </w:pPr>
            <w:r w:rsidRPr="000D4767">
              <w:rPr>
                <w:rFonts w:eastAsia="Calibri"/>
                <w:szCs w:val="22"/>
              </w:rPr>
              <w:t>40 Monitors</w:t>
            </w:r>
          </w:p>
        </w:tc>
        <w:tc>
          <w:tcPr>
            <w:tcW w:w="1800" w:type="dxa"/>
            <w:shd w:val="clear" w:color="auto" w:fill="auto"/>
          </w:tcPr>
          <w:p w:rsidR="000D4767" w:rsidRPr="000D4767" w:rsidRDefault="000D4767" w:rsidP="000E1331">
            <w:pPr>
              <w:ind w:right="250"/>
              <w:jc w:val="right"/>
              <w:rPr>
                <w:rFonts w:eastAsia="Calibri"/>
                <w:szCs w:val="22"/>
              </w:rPr>
            </w:pPr>
            <w:r w:rsidRPr="000D4767">
              <w:rPr>
                <w:rFonts w:eastAsia="Calibri"/>
                <w:szCs w:val="22"/>
              </w:rPr>
              <w:t>$8,696.40</w:t>
            </w:r>
          </w:p>
        </w:tc>
      </w:tr>
      <w:tr w:rsidR="000D4767" w:rsidTr="000E1331">
        <w:tc>
          <w:tcPr>
            <w:tcW w:w="4158" w:type="dxa"/>
            <w:shd w:val="clear" w:color="auto" w:fill="auto"/>
          </w:tcPr>
          <w:p w:rsidR="000D4767" w:rsidRPr="000D4767" w:rsidRDefault="000D4767" w:rsidP="000E1331">
            <w:pPr>
              <w:rPr>
                <w:rFonts w:eastAsia="Calibri"/>
                <w:szCs w:val="22"/>
              </w:rPr>
            </w:pPr>
            <w:r w:rsidRPr="000D4767">
              <w:rPr>
                <w:rFonts w:eastAsia="Calibri"/>
                <w:szCs w:val="22"/>
              </w:rPr>
              <w:t>Additional Memory</w:t>
            </w:r>
          </w:p>
        </w:tc>
        <w:tc>
          <w:tcPr>
            <w:tcW w:w="1800" w:type="dxa"/>
            <w:shd w:val="clear" w:color="auto" w:fill="auto"/>
          </w:tcPr>
          <w:p w:rsidR="000D4767" w:rsidRPr="000D4767" w:rsidRDefault="000D4767" w:rsidP="000E1331">
            <w:pPr>
              <w:ind w:right="250"/>
              <w:jc w:val="right"/>
              <w:rPr>
                <w:rFonts w:eastAsia="Calibri"/>
                <w:szCs w:val="22"/>
              </w:rPr>
            </w:pPr>
            <w:r w:rsidRPr="000D4767">
              <w:rPr>
                <w:rFonts w:eastAsia="Calibri"/>
                <w:szCs w:val="22"/>
              </w:rPr>
              <w:t>$8,091.60</w:t>
            </w:r>
          </w:p>
        </w:tc>
      </w:tr>
      <w:tr w:rsidR="000D4767" w:rsidTr="000E1331">
        <w:tc>
          <w:tcPr>
            <w:tcW w:w="4158" w:type="dxa"/>
            <w:shd w:val="clear" w:color="auto" w:fill="auto"/>
          </w:tcPr>
          <w:p w:rsidR="000D4767" w:rsidRPr="000D4767" w:rsidRDefault="000D4767" w:rsidP="000E1331">
            <w:pPr>
              <w:rPr>
                <w:rFonts w:eastAsia="Calibri"/>
                <w:szCs w:val="22"/>
              </w:rPr>
            </w:pPr>
            <w:r w:rsidRPr="000D4767">
              <w:rPr>
                <w:rFonts w:eastAsia="Calibri"/>
                <w:szCs w:val="22"/>
              </w:rPr>
              <w:t>12 Cisco switches</w:t>
            </w:r>
          </w:p>
        </w:tc>
        <w:tc>
          <w:tcPr>
            <w:tcW w:w="1800" w:type="dxa"/>
            <w:shd w:val="clear" w:color="auto" w:fill="auto"/>
          </w:tcPr>
          <w:p w:rsidR="000D4767" w:rsidRPr="000D4767" w:rsidRDefault="000D4767" w:rsidP="000E1331">
            <w:pPr>
              <w:ind w:right="250"/>
              <w:jc w:val="right"/>
              <w:rPr>
                <w:rFonts w:eastAsia="Calibri"/>
                <w:szCs w:val="22"/>
              </w:rPr>
            </w:pPr>
            <w:r w:rsidRPr="000D4767">
              <w:rPr>
                <w:rFonts w:eastAsia="Calibri"/>
                <w:szCs w:val="22"/>
              </w:rPr>
              <w:t>$59,760.00</w:t>
            </w:r>
          </w:p>
        </w:tc>
      </w:tr>
      <w:tr w:rsidR="0024620B" w:rsidTr="000E1331">
        <w:tc>
          <w:tcPr>
            <w:tcW w:w="4158" w:type="dxa"/>
            <w:shd w:val="clear" w:color="auto" w:fill="auto"/>
          </w:tcPr>
          <w:p w:rsidR="0024620B" w:rsidRPr="00CE41BB" w:rsidRDefault="0024620B" w:rsidP="000E1331">
            <w:pPr>
              <w:rPr>
                <w:rFonts w:eastAsia="Calibri"/>
                <w:szCs w:val="22"/>
              </w:rPr>
            </w:pPr>
            <w:r w:rsidRPr="00EA74FE">
              <w:rPr>
                <w:rFonts w:eastAsia="Calibri"/>
                <w:b/>
                <w:szCs w:val="22"/>
              </w:rPr>
              <w:t>Total Requested from Funding Bonds</w:t>
            </w:r>
          </w:p>
        </w:tc>
        <w:tc>
          <w:tcPr>
            <w:tcW w:w="1800" w:type="dxa"/>
            <w:shd w:val="clear" w:color="auto" w:fill="auto"/>
          </w:tcPr>
          <w:p w:rsidR="0024620B" w:rsidRPr="00CE41BB" w:rsidRDefault="0024620B" w:rsidP="000D4767">
            <w:pPr>
              <w:ind w:right="250"/>
              <w:jc w:val="right"/>
              <w:rPr>
                <w:rFonts w:eastAsia="Calibri"/>
                <w:szCs w:val="22"/>
              </w:rPr>
            </w:pPr>
            <w:r w:rsidRPr="00EA74FE">
              <w:rPr>
                <w:rFonts w:eastAsia="Calibri"/>
                <w:b/>
                <w:szCs w:val="22"/>
              </w:rPr>
              <w:t>$</w:t>
            </w:r>
            <w:r>
              <w:rPr>
                <w:rFonts w:eastAsia="Calibri"/>
                <w:b/>
                <w:szCs w:val="22"/>
              </w:rPr>
              <w:t>1</w:t>
            </w:r>
            <w:r w:rsidR="000D4767">
              <w:rPr>
                <w:rFonts w:eastAsia="Calibri"/>
                <w:b/>
                <w:szCs w:val="22"/>
              </w:rPr>
              <w:t>74</w:t>
            </w:r>
            <w:r w:rsidRPr="00EA74FE">
              <w:rPr>
                <w:rFonts w:eastAsia="Calibri"/>
                <w:b/>
                <w:szCs w:val="22"/>
              </w:rPr>
              <w:t>,</w:t>
            </w:r>
            <w:r w:rsidR="000D4767">
              <w:rPr>
                <w:rFonts w:eastAsia="Calibri"/>
                <w:b/>
                <w:szCs w:val="22"/>
              </w:rPr>
              <w:t>284</w:t>
            </w:r>
            <w:r>
              <w:rPr>
                <w:rFonts w:eastAsia="Calibri"/>
                <w:b/>
                <w:szCs w:val="22"/>
              </w:rPr>
              <w:t>.0</w:t>
            </w:r>
            <w:r w:rsidR="000D4767">
              <w:rPr>
                <w:rFonts w:eastAsia="Calibri"/>
                <w:b/>
                <w:szCs w:val="22"/>
              </w:rPr>
              <w:t>6</w:t>
            </w:r>
          </w:p>
        </w:tc>
      </w:tr>
    </w:tbl>
    <w:p w:rsidR="0024620B" w:rsidRPr="00DE0FF3" w:rsidRDefault="0024620B" w:rsidP="0024620B"/>
    <w:p w:rsidR="0024620B" w:rsidRDefault="0024620B" w:rsidP="0024620B">
      <w:pPr>
        <w:rPr>
          <w:b/>
        </w:rPr>
      </w:pPr>
      <w:r>
        <w:rPr>
          <w:b/>
        </w:rPr>
        <w:t>Recommendation:</w:t>
      </w:r>
    </w:p>
    <w:p w:rsidR="0024620B" w:rsidRDefault="0024620B" w:rsidP="0024620B">
      <w:pPr>
        <w:ind w:firstLine="720"/>
      </w:pPr>
      <w:r>
        <w:t>The administration recommends the Board approve the purchase of the equipment listed above for $</w:t>
      </w:r>
      <w:r w:rsidR="000D4767">
        <w:t>174</w:t>
      </w:r>
      <w:r>
        <w:t>,</w:t>
      </w:r>
      <w:r w:rsidR="000D4767">
        <w:t>284</w:t>
      </w:r>
      <w:r>
        <w:t>.0</w:t>
      </w:r>
      <w:r w:rsidR="000D4767">
        <w:t>6</w:t>
      </w:r>
      <w:r>
        <w:t xml:space="preserve"> from Funding Bond proceeds.  </w:t>
      </w:r>
    </w:p>
    <w:p w:rsidR="005B0D63" w:rsidRDefault="005B0D63" w:rsidP="005B0D63"/>
    <w:sectPr w:rsidR="005B0D63" w:rsidSect="00F930A4">
      <w:pgSz w:w="12240" w:h="15840" w:code="1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14" w:rsidRDefault="00826C14" w:rsidP="00B449D6">
      <w:r>
        <w:separator/>
      </w:r>
    </w:p>
  </w:endnote>
  <w:endnote w:type="continuationSeparator" w:id="0">
    <w:p w:rsidR="00826C14" w:rsidRDefault="00826C14" w:rsidP="00B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14" w:rsidRDefault="00826C14" w:rsidP="00B449D6">
      <w:r>
        <w:separator/>
      </w:r>
    </w:p>
  </w:footnote>
  <w:footnote w:type="continuationSeparator" w:id="0">
    <w:p w:rsidR="00826C14" w:rsidRDefault="00826C14" w:rsidP="00B4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1E0A"/>
    <w:multiLevelType w:val="hybridMultilevel"/>
    <w:tmpl w:val="325A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A5"/>
    <w:multiLevelType w:val="hybridMultilevel"/>
    <w:tmpl w:val="DDAC9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827964"/>
    <w:multiLevelType w:val="hybridMultilevel"/>
    <w:tmpl w:val="870E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1AC1CA9"/>
    <w:multiLevelType w:val="hybridMultilevel"/>
    <w:tmpl w:val="9306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04039"/>
    <w:rsid w:val="0002193D"/>
    <w:rsid w:val="00033D7A"/>
    <w:rsid w:val="00044F1E"/>
    <w:rsid w:val="000511E3"/>
    <w:rsid w:val="000960CB"/>
    <w:rsid w:val="000A35AD"/>
    <w:rsid w:val="000A77A5"/>
    <w:rsid w:val="000C7A85"/>
    <w:rsid w:val="000D1BE2"/>
    <w:rsid w:val="000D4767"/>
    <w:rsid w:val="000E00C7"/>
    <w:rsid w:val="000E1331"/>
    <w:rsid w:val="000E5838"/>
    <w:rsid w:val="001050A0"/>
    <w:rsid w:val="00113F48"/>
    <w:rsid w:val="00117BB8"/>
    <w:rsid w:val="00120C9D"/>
    <w:rsid w:val="00123561"/>
    <w:rsid w:val="00125E3E"/>
    <w:rsid w:val="00143D7A"/>
    <w:rsid w:val="001457A6"/>
    <w:rsid w:val="001515E5"/>
    <w:rsid w:val="00151A7D"/>
    <w:rsid w:val="00153932"/>
    <w:rsid w:val="00162469"/>
    <w:rsid w:val="00164F02"/>
    <w:rsid w:val="00182CEB"/>
    <w:rsid w:val="00190D3D"/>
    <w:rsid w:val="001C04D1"/>
    <w:rsid w:val="001C0C24"/>
    <w:rsid w:val="001D14DC"/>
    <w:rsid w:val="001E4AB5"/>
    <w:rsid w:val="001F271B"/>
    <w:rsid w:val="002003F5"/>
    <w:rsid w:val="002027ED"/>
    <w:rsid w:val="00204399"/>
    <w:rsid w:val="002051B3"/>
    <w:rsid w:val="002068EB"/>
    <w:rsid w:val="0021610A"/>
    <w:rsid w:val="00222AE7"/>
    <w:rsid w:val="00237AC8"/>
    <w:rsid w:val="0024620B"/>
    <w:rsid w:val="002658FE"/>
    <w:rsid w:val="00282BD3"/>
    <w:rsid w:val="002A6610"/>
    <w:rsid w:val="002B3C69"/>
    <w:rsid w:val="002C29BC"/>
    <w:rsid w:val="002D4A5C"/>
    <w:rsid w:val="002E6354"/>
    <w:rsid w:val="002F2429"/>
    <w:rsid w:val="003057DB"/>
    <w:rsid w:val="0031288B"/>
    <w:rsid w:val="00316AA8"/>
    <w:rsid w:val="00325D2B"/>
    <w:rsid w:val="003423AC"/>
    <w:rsid w:val="003657F5"/>
    <w:rsid w:val="003C108D"/>
    <w:rsid w:val="003C5CFF"/>
    <w:rsid w:val="003D1C92"/>
    <w:rsid w:val="003E3336"/>
    <w:rsid w:val="003E64CA"/>
    <w:rsid w:val="003F44E7"/>
    <w:rsid w:val="003F53F0"/>
    <w:rsid w:val="00405322"/>
    <w:rsid w:val="004055E8"/>
    <w:rsid w:val="00411D13"/>
    <w:rsid w:val="004259B8"/>
    <w:rsid w:val="004414E5"/>
    <w:rsid w:val="00445B1B"/>
    <w:rsid w:val="00447D0C"/>
    <w:rsid w:val="004570B2"/>
    <w:rsid w:val="00491508"/>
    <w:rsid w:val="004A7A28"/>
    <w:rsid w:val="004B00AF"/>
    <w:rsid w:val="004B4269"/>
    <w:rsid w:val="004B5E76"/>
    <w:rsid w:val="004C576E"/>
    <w:rsid w:val="004D1E57"/>
    <w:rsid w:val="004E3839"/>
    <w:rsid w:val="004E5480"/>
    <w:rsid w:val="004E71D0"/>
    <w:rsid w:val="00520577"/>
    <w:rsid w:val="00523366"/>
    <w:rsid w:val="00527614"/>
    <w:rsid w:val="00545086"/>
    <w:rsid w:val="005547BA"/>
    <w:rsid w:val="00561C90"/>
    <w:rsid w:val="00564E18"/>
    <w:rsid w:val="00570E1D"/>
    <w:rsid w:val="005826BE"/>
    <w:rsid w:val="00583B3B"/>
    <w:rsid w:val="00587B4D"/>
    <w:rsid w:val="005A008F"/>
    <w:rsid w:val="005A1D24"/>
    <w:rsid w:val="005A3ADA"/>
    <w:rsid w:val="005B0D63"/>
    <w:rsid w:val="005C3CA4"/>
    <w:rsid w:val="005C6C1D"/>
    <w:rsid w:val="005E40CC"/>
    <w:rsid w:val="005E532A"/>
    <w:rsid w:val="005F2173"/>
    <w:rsid w:val="006016A4"/>
    <w:rsid w:val="006104C6"/>
    <w:rsid w:val="00650B0B"/>
    <w:rsid w:val="00655A0E"/>
    <w:rsid w:val="006613A5"/>
    <w:rsid w:val="006643DC"/>
    <w:rsid w:val="00666CF3"/>
    <w:rsid w:val="0067488E"/>
    <w:rsid w:val="00692061"/>
    <w:rsid w:val="006A1C22"/>
    <w:rsid w:val="006A2B8F"/>
    <w:rsid w:val="006A4B1B"/>
    <w:rsid w:val="006D7826"/>
    <w:rsid w:val="006E7813"/>
    <w:rsid w:val="00705E8E"/>
    <w:rsid w:val="007071F9"/>
    <w:rsid w:val="00722FDA"/>
    <w:rsid w:val="007414E8"/>
    <w:rsid w:val="00790E2D"/>
    <w:rsid w:val="007971D5"/>
    <w:rsid w:val="007A2A4B"/>
    <w:rsid w:val="007A58CC"/>
    <w:rsid w:val="007A6EAB"/>
    <w:rsid w:val="007B76D9"/>
    <w:rsid w:val="008016E0"/>
    <w:rsid w:val="00816007"/>
    <w:rsid w:val="00825172"/>
    <w:rsid w:val="00826C14"/>
    <w:rsid w:val="00827F9F"/>
    <w:rsid w:val="00836DD7"/>
    <w:rsid w:val="00836F68"/>
    <w:rsid w:val="00854DA8"/>
    <w:rsid w:val="00855E62"/>
    <w:rsid w:val="0086390B"/>
    <w:rsid w:val="008934E4"/>
    <w:rsid w:val="008C0110"/>
    <w:rsid w:val="008C2C82"/>
    <w:rsid w:val="008D051A"/>
    <w:rsid w:val="008F0D38"/>
    <w:rsid w:val="00904C7D"/>
    <w:rsid w:val="0091227F"/>
    <w:rsid w:val="009261E7"/>
    <w:rsid w:val="0092624A"/>
    <w:rsid w:val="00930AD7"/>
    <w:rsid w:val="009407BF"/>
    <w:rsid w:val="00941F9A"/>
    <w:rsid w:val="00961D4B"/>
    <w:rsid w:val="00961D71"/>
    <w:rsid w:val="00994EC3"/>
    <w:rsid w:val="009B1BF4"/>
    <w:rsid w:val="009B36D3"/>
    <w:rsid w:val="009B67C8"/>
    <w:rsid w:val="009C7976"/>
    <w:rsid w:val="009D1B85"/>
    <w:rsid w:val="00A036FB"/>
    <w:rsid w:val="00A04644"/>
    <w:rsid w:val="00A06A0D"/>
    <w:rsid w:val="00A07654"/>
    <w:rsid w:val="00A24432"/>
    <w:rsid w:val="00A401AF"/>
    <w:rsid w:val="00A4229C"/>
    <w:rsid w:val="00A6739D"/>
    <w:rsid w:val="00A877AF"/>
    <w:rsid w:val="00A9500B"/>
    <w:rsid w:val="00AA0003"/>
    <w:rsid w:val="00AA740A"/>
    <w:rsid w:val="00AB1513"/>
    <w:rsid w:val="00AC00F7"/>
    <w:rsid w:val="00AD2843"/>
    <w:rsid w:val="00AD4D81"/>
    <w:rsid w:val="00AE15FA"/>
    <w:rsid w:val="00AF0643"/>
    <w:rsid w:val="00AF53B1"/>
    <w:rsid w:val="00AF5958"/>
    <w:rsid w:val="00B02074"/>
    <w:rsid w:val="00B143C5"/>
    <w:rsid w:val="00B2631B"/>
    <w:rsid w:val="00B449D6"/>
    <w:rsid w:val="00B47EE5"/>
    <w:rsid w:val="00B54194"/>
    <w:rsid w:val="00B563C8"/>
    <w:rsid w:val="00B65BD5"/>
    <w:rsid w:val="00B84E2A"/>
    <w:rsid w:val="00BC1E25"/>
    <w:rsid w:val="00BC774A"/>
    <w:rsid w:val="00BD75DF"/>
    <w:rsid w:val="00BE2740"/>
    <w:rsid w:val="00BE3A7C"/>
    <w:rsid w:val="00BF2D7F"/>
    <w:rsid w:val="00BF56AC"/>
    <w:rsid w:val="00BF6E2E"/>
    <w:rsid w:val="00C031AD"/>
    <w:rsid w:val="00C032C1"/>
    <w:rsid w:val="00C041ED"/>
    <w:rsid w:val="00C1268F"/>
    <w:rsid w:val="00C13C1E"/>
    <w:rsid w:val="00C253FE"/>
    <w:rsid w:val="00C27C0C"/>
    <w:rsid w:val="00C30251"/>
    <w:rsid w:val="00C355D7"/>
    <w:rsid w:val="00C65687"/>
    <w:rsid w:val="00C66A0D"/>
    <w:rsid w:val="00C84251"/>
    <w:rsid w:val="00C943D7"/>
    <w:rsid w:val="00CC7AB1"/>
    <w:rsid w:val="00CD5FDA"/>
    <w:rsid w:val="00CE37E0"/>
    <w:rsid w:val="00CE41BB"/>
    <w:rsid w:val="00CE4EF6"/>
    <w:rsid w:val="00CE5924"/>
    <w:rsid w:val="00D043F1"/>
    <w:rsid w:val="00D063F3"/>
    <w:rsid w:val="00D23DC4"/>
    <w:rsid w:val="00D259EE"/>
    <w:rsid w:val="00D37EDD"/>
    <w:rsid w:val="00D40BA5"/>
    <w:rsid w:val="00D509CD"/>
    <w:rsid w:val="00D51A78"/>
    <w:rsid w:val="00D645CD"/>
    <w:rsid w:val="00D72D2E"/>
    <w:rsid w:val="00D82362"/>
    <w:rsid w:val="00D82AA4"/>
    <w:rsid w:val="00D873C9"/>
    <w:rsid w:val="00D9707A"/>
    <w:rsid w:val="00DA3F02"/>
    <w:rsid w:val="00DA4F2E"/>
    <w:rsid w:val="00DD1854"/>
    <w:rsid w:val="00DE0FF3"/>
    <w:rsid w:val="00DE411E"/>
    <w:rsid w:val="00DF1C43"/>
    <w:rsid w:val="00E01AC1"/>
    <w:rsid w:val="00E0689F"/>
    <w:rsid w:val="00E14A40"/>
    <w:rsid w:val="00E250A5"/>
    <w:rsid w:val="00E27E19"/>
    <w:rsid w:val="00E41FC1"/>
    <w:rsid w:val="00E508BC"/>
    <w:rsid w:val="00E5100B"/>
    <w:rsid w:val="00E51BA8"/>
    <w:rsid w:val="00E57538"/>
    <w:rsid w:val="00E70260"/>
    <w:rsid w:val="00E81DB5"/>
    <w:rsid w:val="00E90FFD"/>
    <w:rsid w:val="00E93CA8"/>
    <w:rsid w:val="00E95F0E"/>
    <w:rsid w:val="00EA2084"/>
    <w:rsid w:val="00EA74FE"/>
    <w:rsid w:val="00EB556D"/>
    <w:rsid w:val="00ED2079"/>
    <w:rsid w:val="00ED4E51"/>
    <w:rsid w:val="00ED7ED2"/>
    <w:rsid w:val="00EE72AD"/>
    <w:rsid w:val="00EE75AD"/>
    <w:rsid w:val="00F043F6"/>
    <w:rsid w:val="00F05D1F"/>
    <w:rsid w:val="00F23E0A"/>
    <w:rsid w:val="00F45498"/>
    <w:rsid w:val="00F47F9C"/>
    <w:rsid w:val="00F56167"/>
    <w:rsid w:val="00F56D33"/>
    <w:rsid w:val="00F722D8"/>
    <w:rsid w:val="00F76E4B"/>
    <w:rsid w:val="00F87E0A"/>
    <w:rsid w:val="00F930A4"/>
    <w:rsid w:val="00FA0698"/>
    <w:rsid w:val="00FC1A5E"/>
    <w:rsid w:val="00FE053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07049-AD8C-48FB-A5D4-5561FDA4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53F0"/>
    <w:rPr>
      <w:rFonts w:eastAsia="Calibri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B449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49D6"/>
    <w:rPr>
      <w:sz w:val="24"/>
      <w:szCs w:val="24"/>
    </w:rPr>
  </w:style>
  <w:style w:type="paragraph" w:styleId="Footer">
    <w:name w:val="footer"/>
    <w:basedOn w:val="Normal"/>
    <w:link w:val="FooterChar"/>
    <w:rsid w:val="00B449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49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0D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subject/>
  <dc:creator>SVCC</dc:creator>
  <cp:keywords/>
  <dc:description/>
  <cp:lastModifiedBy>EmmaLea Bittner</cp:lastModifiedBy>
  <cp:revision>2</cp:revision>
  <cp:lastPrinted>2015-10-21T16:10:00Z</cp:lastPrinted>
  <dcterms:created xsi:type="dcterms:W3CDTF">2019-06-12T19:47:00Z</dcterms:created>
  <dcterms:modified xsi:type="dcterms:W3CDTF">2019-06-12T19:47:00Z</dcterms:modified>
</cp:coreProperties>
</file>