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71" w:rsidRPr="000514F3" w:rsidRDefault="00EB7171" w:rsidP="00EB7171">
      <w:pPr>
        <w:jc w:val="center"/>
        <w:rPr>
          <w:b/>
          <w:szCs w:val="24"/>
        </w:rPr>
      </w:pPr>
      <w:smartTag w:uri="urn:schemas-microsoft-com:office:smarttags" w:element="place">
        <w:smartTag w:uri="urn:schemas-microsoft-com:office:smarttags" w:element="PlaceName">
          <w:r w:rsidRPr="000514F3">
            <w:rPr>
              <w:b/>
              <w:szCs w:val="24"/>
            </w:rPr>
            <w:t>Sauk</w:t>
          </w:r>
        </w:smartTag>
        <w:r w:rsidRPr="000514F3">
          <w:rPr>
            <w:b/>
            <w:szCs w:val="24"/>
          </w:rPr>
          <w:t xml:space="preserve"> </w:t>
        </w:r>
        <w:smartTag w:uri="urn:schemas-microsoft-com:office:smarttags" w:element="PlaceType">
          <w:r w:rsidRPr="000514F3">
            <w:rPr>
              <w:b/>
              <w:szCs w:val="24"/>
            </w:rPr>
            <w:t>Valley</w:t>
          </w:r>
        </w:smartTag>
        <w:r w:rsidRPr="000514F3">
          <w:rPr>
            <w:b/>
            <w:szCs w:val="24"/>
          </w:rPr>
          <w:t xml:space="preserve"> </w:t>
        </w:r>
        <w:smartTag w:uri="urn:schemas-microsoft-com:office:smarttags" w:element="PlaceType">
          <w:r w:rsidRPr="000514F3">
            <w:rPr>
              <w:b/>
              <w:szCs w:val="24"/>
            </w:rPr>
            <w:t>Community College</w:t>
          </w:r>
        </w:smartTag>
      </w:smartTag>
    </w:p>
    <w:p w:rsidR="00EB7171" w:rsidRPr="000514F3" w:rsidRDefault="00EB7171" w:rsidP="00EB7171">
      <w:pPr>
        <w:jc w:val="center"/>
        <w:rPr>
          <w:b/>
          <w:szCs w:val="24"/>
        </w:rPr>
      </w:pPr>
      <w:r>
        <w:rPr>
          <w:b/>
          <w:szCs w:val="24"/>
        </w:rPr>
        <w:t>June 20, 2016</w:t>
      </w:r>
    </w:p>
    <w:p w:rsidR="00EB7171" w:rsidRPr="000514F3" w:rsidRDefault="00EB7171" w:rsidP="00EB7171">
      <w:pPr>
        <w:jc w:val="center"/>
        <w:rPr>
          <w:b/>
          <w:szCs w:val="24"/>
        </w:rPr>
      </w:pPr>
    </w:p>
    <w:p w:rsidR="00EB7171" w:rsidRPr="000514F3" w:rsidRDefault="00EB7171" w:rsidP="00EB7171">
      <w:pPr>
        <w:rPr>
          <w:szCs w:val="24"/>
        </w:rPr>
      </w:pPr>
    </w:p>
    <w:p w:rsidR="00EB7171" w:rsidRPr="000514F3" w:rsidRDefault="00EB7171" w:rsidP="00EB7171">
      <w:pPr>
        <w:rPr>
          <w:b/>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A75591">
        <w:rPr>
          <w:szCs w:val="24"/>
        </w:rPr>
        <w:tab/>
      </w:r>
      <w:r w:rsidRPr="000514F3">
        <w:rPr>
          <w:b/>
          <w:szCs w:val="24"/>
          <w:u w:val="single"/>
        </w:rPr>
        <w:t>A</w:t>
      </w:r>
      <w:r>
        <w:rPr>
          <w:b/>
          <w:szCs w:val="24"/>
          <w:u w:val="single"/>
        </w:rPr>
        <w:t>ction Item 4.6</w:t>
      </w:r>
    </w:p>
    <w:p w:rsidR="004B0CBB" w:rsidRDefault="004B0CBB" w:rsidP="004B0CBB"/>
    <w:p w:rsidR="004B0CBB" w:rsidRDefault="004B0CBB" w:rsidP="004B0CBB"/>
    <w:p w:rsidR="004B0CBB" w:rsidRDefault="004B0CBB" w:rsidP="004B0CBB">
      <w:pPr>
        <w:ind w:left="2160" w:hanging="2160"/>
        <w:rPr>
          <w:b/>
        </w:rPr>
      </w:pPr>
      <w:r>
        <w:rPr>
          <w:b/>
        </w:rPr>
        <w:t>Topic:</w:t>
      </w:r>
      <w:r>
        <w:rPr>
          <w:b/>
        </w:rPr>
        <w:tab/>
        <w:t>Tentative 2016-2017 Budget – First Reading</w:t>
      </w:r>
    </w:p>
    <w:p w:rsidR="004B0CBB" w:rsidRDefault="004B0CBB" w:rsidP="004B0CBB">
      <w:pPr>
        <w:ind w:left="2160" w:hanging="2160"/>
        <w:rPr>
          <w:b/>
        </w:rPr>
      </w:pPr>
    </w:p>
    <w:p w:rsidR="004B0CBB" w:rsidRDefault="004B0CBB" w:rsidP="004B0CBB">
      <w:pPr>
        <w:ind w:left="2160" w:hanging="2160"/>
        <w:rPr>
          <w:b/>
        </w:rPr>
      </w:pPr>
      <w:r>
        <w:rPr>
          <w:b/>
        </w:rPr>
        <w:t xml:space="preserve">Strategic Direction:  Goal 3 – </w:t>
      </w:r>
      <w:r w:rsidRPr="00776FE8">
        <w:rPr>
          <w:b/>
        </w:rPr>
        <w:t>The College will maintain an appropriate operating fund surplus.</w:t>
      </w:r>
    </w:p>
    <w:p w:rsidR="004B0CBB" w:rsidRDefault="004B0CBB" w:rsidP="004B0CBB">
      <w:pPr>
        <w:ind w:left="2160" w:hanging="2160"/>
        <w:rPr>
          <w:b/>
        </w:rPr>
      </w:pPr>
    </w:p>
    <w:p w:rsidR="004B0CBB" w:rsidRDefault="004B0CBB" w:rsidP="004B0CBB">
      <w:pPr>
        <w:ind w:left="2160" w:hanging="2160"/>
        <w:rPr>
          <w:b/>
        </w:rPr>
      </w:pPr>
      <w:r>
        <w:rPr>
          <w:b/>
        </w:rPr>
        <w:t>Presented By:</w:t>
      </w:r>
      <w:r>
        <w:rPr>
          <w:b/>
        </w:rPr>
        <w:tab/>
        <w:t xml:space="preserve">Dr. David </w:t>
      </w:r>
      <w:proofErr w:type="spellStart"/>
      <w:r>
        <w:rPr>
          <w:b/>
        </w:rPr>
        <w:t>Hellmich</w:t>
      </w:r>
      <w:proofErr w:type="spellEnd"/>
      <w:r>
        <w:rPr>
          <w:b/>
        </w:rPr>
        <w:t xml:space="preserve"> and Melissa Dye</w:t>
      </w:r>
    </w:p>
    <w:p w:rsidR="004B0CBB" w:rsidRDefault="004B0CBB" w:rsidP="004B0CBB">
      <w:pPr>
        <w:rPr>
          <w:b/>
        </w:rPr>
      </w:pPr>
    </w:p>
    <w:p w:rsidR="004B0CBB" w:rsidRDefault="004B0CBB" w:rsidP="004B0CBB">
      <w:pPr>
        <w:rPr>
          <w:b/>
          <w:szCs w:val="24"/>
        </w:rPr>
      </w:pPr>
      <w:r w:rsidRPr="000514F3">
        <w:rPr>
          <w:b/>
          <w:szCs w:val="24"/>
        </w:rPr>
        <w:t>Presentation:</w:t>
      </w:r>
      <w:r w:rsidRPr="000514F3">
        <w:rPr>
          <w:b/>
          <w:szCs w:val="24"/>
        </w:rPr>
        <w:tab/>
      </w:r>
      <w:r w:rsidRPr="000514F3">
        <w:rPr>
          <w:b/>
          <w:szCs w:val="24"/>
        </w:rPr>
        <w:tab/>
      </w:r>
    </w:p>
    <w:p w:rsidR="004B0CBB" w:rsidRDefault="004B0CBB" w:rsidP="004B0CBB">
      <w:pPr>
        <w:rPr>
          <w:szCs w:val="24"/>
        </w:rPr>
      </w:pPr>
      <w:r>
        <w:tab/>
        <w:t xml:space="preserve">Attached is the Tentative FY2017 Budget for Board consideration and first reading. This budget will be on public display in the Business Office, the President’s Office, and the Learning Commons </w:t>
      </w:r>
      <w:r>
        <w:rPr>
          <w:szCs w:val="24"/>
        </w:rPr>
        <w:t>for thirty</w:t>
      </w:r>
      <w:r w:rsidRPr="00517342">
        <w:rPr>
          <w:szCs w:val="24"/>
        </w:rPr>
        <w:t xml:space="preserve"> days</w:t>
      </w:r>
      <w:r>
        <w:rPr>
          <w:szCs w:val="24"/>
        </w:rPr>
        <w:t>.  The public hearing and final action will take place at the July Board meeting.</w:t>
      </w:r>
    </w:p>
    <w:p w:rsidR="004B0CBB" w:rsidRDefault="004B0CBB" w:rsidP="004B0CBB">
      <w:pPr>
        <w:rPr>
          <w:szCs w:val="24"/>
        </w:rPr>
      </w:pPr>
    </w:p>
    <w:p w:rsidR="004B0CBB" w:rsidRPr="000514F3" w:rsidRDefault="004B0CBB" w:rsidP="004B0CBB">
      <w:pPr>
        <w:rPr>
          <w:b/>
          <w:szCs w:val="24"/>
        </w:rPr>
      </w:pPr>
      <w:r>
        <w:rPr>
          <w:b/>
          <w:szCs w:val="24"/>
        </w:rPr>
        <w:t>R</w:t>
      </w:r>
      <w:r w:rsidRPr="000514F3">
        <w:rPr>
          <w:b/>
          <w:szCs w:val="24"/>
        </w:rPr>
        <w:t>ecommendation:</w:t>
      </w:r>
    </w:p>
    <w:p w:rsidR="004B0CBB" w:rsidRPr="00DA4D15" w:rsidRDefault="004B0CBB" w:rsidP="004B0CBB">
      <w:pPr>
        <w:rPr>
          <w:szCs w:val="24"/>
        </w:rPr>
      </w:pPr>
      <w:r w:rsidRPr="000514F3">
        <w:rPr>
          <w:b/>
          <w:szCs w:val="24"/>
        </w:rPr>
        <w:tab/>
      </w:r>
      <w:r>
        <w:rPr>
          <w:szCs w:val="24"/>
        </w:rPr>
        <w:t>The administration recommends the Board of</w:t>
      </w:r>
      <w:r>
        <w:t xml:space="preserve"> Trustees approve the first reading of the Tentative FY2017 Budget.</w:t>
      </w:r>
    </w:p>
    <w:p w:rsidR="008225C9"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bookmarkStart w:id="0" w:name="_GoBack"/>
      <w:bookmarkEnd w:id="0"/>
    </w:p>
    <w:p w:rsidR="00CA625B" w:rsidRDefault="00CA625B"/>
    <w:p w:rsidR="00CA625B" w:rsidRDefault="00CA625B"/>
    <w:p w:rsidR="00CA625B" w:rsidRDefault="00CA625B"/>
    <w:p w:rsidR="00CA625B" w:rsidRDefault="00CA625B"/>
    <w:p w:rsidR="00CA625B" w:rsidRDefault="00CA625B"/>
    <w:p w:rsidR="00CA625B" w:rsidRDefault="00CA625B" w:rsidP="00CA625B">
      <w:pPr>
        <w:jc w:val="center"/>
      </w:pPr>
      <w:smartTag w:uri="urn:schemas-microsoft-com:office:smarttags" w:element="place">
        <w:smartTag w:uri="urn:schemas-microsoft-com:office:smarttags" w:element="PlaceName">
          <w:r>
            <w:lastRenderedPageBreak/>
            <w:t>SAUK</w:t>
          </w:r>
        </w:smartTag>
        <w:r>
          <w:t xml:space="preserve"> </w:t>
        </w:r>
        <w:smartTag w:uri="urn:schemas-microsoft-com:office:smarttags" w:element="PlaceType">
          <w:r>
            <w:t>VALLEY</w:t>
          </w:r>
        </w:smartTag>
        <w:r>
          <w:t xml:space="preserve"> </w:t>
        </w:r>
        <w:smartTag w:uri="urn:schemas-microsoft-com:office:smarttags" w:element="PlaceType">
          <w:r>
            <w:t>COMMUNITY COLLEGE</w:t>
          </w:r>
        </w:smartTag>
      </w:smartTag>
    </w:p>
    <w:p w:rsidR="00CA625B" w:rsidRDefault="00CA625B" w:rsidP="00CA625B">
      <w:pPr>
        <w:jc w:val="center"/>
      </w:pPr>
      <w:r>
        <w:t>FY2017 BUDGET NARRATIVE</w:t>
      </w:r>
    </w:p>
    <w:p w:rsidR="00CA625B" w:rsidRDefault="00CA625B" w:rsidP="00CA625B">
      <w:pPr>
        <w:jc w:val="center"/>
      </w:pPr>
    </w:p>
    <w:p w:rsidR="00CA625B" w:rsidRDefault="00CA625B" w:rsidP="00CA625B">
      <w:pPr>
        <w:jc w:val="center"/>
      </w:pPr>
    </w:p>
    <w:p w:rsidR="00CA625B" w:rsidRDefault="00CA625B" w:rsidP="00CA625B">
      <w:r>
        <w:t xml:space="preserve">SVCC has nine different funds. </w:t>
      </w:r>
    </w:p>
    <w:p w:rsidR="00CA625B" w:rsidRDefault="00CA625B" w:rsidP="00CA625B">
      <w:pPr>
        <w:numPr>
          <w:ilvl w:val="0"/>
          <w:numId w:val="11"/>
        </w:numPr>
      </w:pPr>
      <w:r w:rsidRPr="00B14B27">
        <w:rPr>
          <w:b/>
        </w:rPr>
        <w:t>Education</w:t>
      </w:r>
      <w:r>
        <w:rPr>
          <w:b/>
        </w:rPr>
        <w:t xml:space="preserve"> (Fund 1)</w:t>
      </w:r>
      <w:r>
        <w:t xml:space="preserve"> - academic programs, student services, technology, and administration.</w:t>
      </w:r>
    </w:p>
    <w:p w:rsidR="00CA625B" w:rsidRDefault="00CA625B" w:rsidP="00CA625B">
      <w:pPr>
        <w:numPr>
          <w:ilvl w:val="0"/>
          <w:numId w:val="11"/>
        </w:numPr>
      </w:pPr>
      <w:r>
        <w:rPr>
          <w:b/>
        </w:rPr>
        <w:t>Operations &amp; M</w:t>
      </w:r>
      <w:r w:rsidRPr="00B14B27">
        <w:rPr>
          <w:b/>
        </w:rPr>
        <w:t>aintenance</w:t>
      </w:r>
      <w:r>
        <w:rPr>
          <w:b/>
        </w:rPr>
        <w:t xml:space="preserve"> (Fund 2)</w:t>
      </w:r>
      <w:r>
        <w:t xml:space="preserve"> - building maintenance, custodial, grounds, and utilities. </w:t>
      </w:r>
    </w:p>
    <w:p w:rsidR="00CA625B" w:rsidRDefault="00CA625B" w:rsidP="00CA625B">
      <w:pPr>
        <w:numPr>
          <w:ilvl w:val="0"/>
          <w:numId w:val="11"/>
        </w:numPr>
      </w:pPr>
      <w:r w:rsidRPr="00B14B27">
        <w:rPr>
          <w:b/>
        </w:rPr>
        <w:t>Restri</w:t>
      </w:r>
      <w:r>
        <w:rPr>
          <w:b/>
        </w:rPr>
        <w:t>cted P</w:t>
      </w:r>
      <w:r w:rsidRPr="00B14B27">
        <w:rPr>
          <w:b/>
        </w:rPr>
        <w:t>urposes</w:t>
      </w:r>
      <w:r>
        <w:rPr>
          <w:b/>
        </w:rPr>
        <w:t xml:space="preserve"> (Fund 6)</w:t>
      </w:r>
      <w:r>
        <w:t xml:space="preserve"> - student financial aid and restricted grants.</w:t>
      </w:r>
    </w:p>
    <w:p w:rsidR="00CA625B" w:rsidRDefault="00CA625B" w:rsidP="00CA625B">
      <w:pPr>
        <w:numPr>
          <w:ilvl w:val="0"/>
          <w:numId w:val="11"/>
        </w:numPr>
      </w:pPr>
      <w:r w:rsidRPr="00B14B27">
        <w:rPr>
          <w:b/>
        </w:rPr>
        <w:t>Audit</w:t>
      </w:r>
      <w:r>
        <w:rPr>
          <w:b/>
        </w:rPr>
        <w:t xml:space="preserve"> (Fund 11)</w:t>
      </w:r>
      <w:r>
        <w:t xml:space="preserve"> - audit costs.</w:t>
      </w:r>
    </w:p>
    <w:p w:rsidR="00CA625B" w:rsidRDefault="00CA625B" w:rsidP="00CA625B">
      <w:pPr>
        <w:numPr>
          <w:ilvl w:val="0"/>
          <w:numId w:val="11"/>
        </w:numPr>
      </w:pPr>
      <w:r w:rsidRPr="00B14B27">
        <w:rPr>
          <w:b/>
        </w:rPr>
        <w:t>Liab</w:t>
      </w:r>
      <w:r>
        <w:rPr>
          <w:b/>
        </w:rPr>
        <w:t>ility, Protection &amp; S</w:t>
      </w:r>
      <w:r w:rsidRPr="00B14B27">
        <w:rPr>
          <w:b/>
        </w:rPr>
        <w:t>ettlement</w:t>
      </w:r>
      <w:r>
        <w:rPr>
          <w:b/>
        </w:rPr>
        <w:t xml:space="preserve"> (Fund 12)</w:t>
      </w:r>
      <w:r>
        <w:t xml:space="preserve"> - liability insurance, workers compensation insurance, unemployment insurance, FICA, Medicare, and risk management.</w:t>
      </w:r>
    </w:p>
    <w:p w:rsidR="00CA625B" w:rsidRDefault="00CA625B" w:rsidP="00CA625B">
      <w:pPr>
        <w:numPr>
          <w:ilvl w:val="0"/>
          <w:numId w:val="11"/>
        </w:numPr>
      </w:pPr>
      <w:r w:rsidRPr="00B14B27">
        <w:rPr>
          <w:b/>
        </w:rPr>
        <w:t>Working Cash</w:t>
      </w:r>
      <w:r>
        <w:rPr>
          <w:b/>
        </w:rPr>
        <w:t xml:space="preserve"> (Fund 7)</w:t>
      </w:r>
      <w:r>
        <w:t xml:space="preserve"> - investment income and temporary cash flow.</w:t>
      </w:r>
    </w:p>
    <w:p w:rsidR="00CA625B" w:rsidRDefault="00CA625B" w:rsidP="00CA625B">
      <w:pPr>
        <w:numPr>
          <w:ilvl w:val="0"/>
          <w:numId w:val="11"/>
        </w:numPr>
      </w:pPr>
      <w:r>
        <w:rPr>
          <w:b/>
        </w:rPr>
        <w:t>Bond &amp; I</w:t>
      </w:r>
      <w:r w:rsidRPr="00B14B27">
        <w:rPr>
          <w:b/>
        </w:rPr>
        <w:t>nterest</w:t>
      </w:r>
      <w:r>
        <w:rPr>
          <w:b/>
        </w:rPr>
        <w:t xml:space="preserve"> (Fund 4)</w:t>
      </w:r>
      <w:r>
        <w:t xml:space="preserve"> - bond repayment and bond interest payment.</w:t>
      </w:r>
    </w:p>
    <w:p w:rsidR="00CA625B" w:rsidRDefault="00CA625B" w:rsidP="00CA625B">
      <w:pPr>
        <w:numPr>
          <w:ilvl w:val="0"/>
          <w:numId w:val="11"/>
        </w:numPr>
      </w:pPr>
      <w:r w:rsidRPr="00B14B27">
        <w:rPr>
          <w:b/>
        </w:rPr>
        <w:t>Oper</w:t>
      </w:r>
      <w:r>
        <w:rPr>
          <w:b/>
        </w:rPr>
        <w:t>ations &amp; Maintenance R</w:t>
      </w:r>
      <w:r w:rsidRPr="00B14B27">
        <w:rPr>
          <w:b/>
        </w:rPr>
        <w:t>estricted</w:t>
      </w:r>
      <w:r>
        <w:rPr>
          <w:b/>
        </w:rPr>
        <w:t xml:space="preserve"> (Fund 3)</w:t>
      </w:r>
      <w:r>
        <w:t xml:space="preserve"> - building renovations and funding bonds.</w:t>
      </w:r>
    </w:p>
    <w:p w:rsidR="00CA625B" w:rsidRDefault="00CA625B" w:rsidP="00CA625B">
      <w:pPr>
        <w:numPr>
          <w:ilvl w:val="0"/>
          <w:numId w:val="11"/>
        </w:numPr>
      </w:pPr>
      <w:r w:rsidRPr="00B14B27">
        <w:rPr>
          <w:b/>
        </w:rPr>
        <w:t>Auxiliary</w:t>
      </w:r>
      <w:r>
        <w:rPr>
          <w:b/>
        </w:rPr>
        <w:t xml:space="preserve"> (Fund 5)</w:t>
      </w:r>
      <w:r>
        <w:t xml:space="preserve"> - student activities, athletics, bookstore and the medical self-insured fund.</w:t>
      </w:r>
    </w:p>
    <w:p w:rsidR="00CA625B" w:rsidRDefault="00CA625B" w:rsidP="00CA625B">
      <w:pPr>
        <w:ind w:left="420"/>
      </w:pPr>
    </w:p>
    <w:p w:rsidR="00CA625B" w:rsidRDefault="00CA625B" w:rsidP="00CA625B">
      <w:pPr>
        <w:ind w:left="420"/>
      </w:pPr>
    </w:p>
    <w:p w:rsidR="00CA625B" w:rsidRDefault="00CA625B" w:rsidP="00CA625B"/>
    <w:p w:rsidR="00CA625B" w:rsidRDefault="00CA625B" w:rsidP="00CA625B">
      <w:r>
        <w:t>The revenue sources and uses of the nine funds are listed on the following pages.  Also included are the assumptions used to determine the FY2017 budget amounts if significantly different than the prior year.</w:t>
      </w:r>
    </w:p>
    <w:p w:rsidR="00CA625B" w:rsidRDefault="00CA625B" w:rsidP="00CA625B">
      <w:r>
        <w:br w:type="page"/>
      </w:r>
      <w:r w:rsidRPr="009808FD">
        <w:rPr>
          <w:b/>
        </w:rPr>
        <w:lastRenderedPageBreak/>
        <w:t>Education Fund</w:t>
      </w:r>
      <w:r>
        <w:t xml:space="preserve"> (Fund 1)  </w:t>
      </w:r>
    </w:p>
    <w:p w:rsidR="00CA625B" w:rsidRDefault="00CA625B" w:rsidP="00CA625B"/>
    <w:p w:rsidR="00CA625B" w:rsidRDefault="00CA625B" w:rsidP="00CA625B">
      <w:r>
        <w:t>Revenue sources:</w:t>
      </w:r>
    </w:p>
    <w:p w:rsidR="00CA625B" w:rsidRDefault="00CA625B" w:rsidP="00CA625B"/>
    <w:p w:rsidR="00CA625B" w:rsidRDefault="00CA625B" w:rsidP="00CA625B">
      <w:r w:rsidRPr="00B72D5F">
        <w:rPr>
          <w:noProof/>
        </w:rPr>
        <w:drawing>
          <wp:inline distT="0" distB="0" distL="0" distR="0" wp14:anchorId="7E233B2B" wp14:editId="28A1D776">
            <wp:extent cx="5486400" cy="201752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017528"/>
                    </a:xfrm>
                    <a:prstGeom prst="rect">
                      <a:avLst/>
                    </a:prstGeom>
                    <a:noFill/>
                    <a:ln>
                      <a:noFill/>
                    </a:ln>
                  </pic:spPr>
                </pic:pic>
              </a:graphicData>
            </a:graphic>
          </wp:inline>
        </w:drawing>
      </w:r>
    </w:p>
    <w:p w:rsidR="00CA625B" w:rsidRDefault="00CA625B" w:rsidP="00CA625B">
      <w:pPr>
        <w:ind w:left="1440"/>
      </w:pPr>
    </w:p>
    <w:p w:rsidR="00CA625B" w:rsidRPr="00C11039" w:rsidRDefault="00CA625B" w:rsidP="00CA625B">
      <w:pPr>
        <w:ind w:left="1440" w:hanging="720"/>
      </w:pPr>
      <w:r w:rsidRPr="00C11039">
        <w:t>Local revenues</w:t>
      </w:r>
    </w:p>
    <w:p w:rsidR="00CA625B" w:rsidRDefault="00CA625B" w:rsidP="00CA625B">
      <w:pPr>
        <w:numPr>
          <w:ilvl w:val="0"/>
          <w:numId w:val="1"/>
        </w:numPr>
        <w:tabs>
          <w:tab w:val="num" w:pos="1530"/>
        </w:tabs>
        <w:ind w:left="1530" w:hanging="450"/>
      </w:pPr>
      <w:r>
        <w:t>Property taxes are increasing due to increase EAV for 2015 tax year.  The assumption within the budget is there will be a tax freeze on the 2016 levy.</w:t>
      </w:r>
    </w:p>
    <w:p w:rsidR="00CA625B" w:rsidRDefault="00CA625B" w:rsidP="00CA625B">
      <w:pPr>
        <w:ind w:left="2520"/>
      </w:pPr>
      <w:r>
        <w:t xml:space="preserve"> </w:t>
      </w:r>
    </w:p>
    <w:p w:rsidR="00CA625B" w:rsidRPr="00C11039" w:rsidRDefault="00CA625B" w:rsidP="00CA625B">
      <w:pPr>
        <w:ind w:firstLine="720"/>
      </w:pPr>
      <w:r w:rsidRPr="00C11039">
        <w:t xml:space="preserve">State revenues </w:t>
      </w:r>
    </w:p>
    <w:p w:rsidR="00CA625B" w:rsidRDefault="00CA625B" w:rsidP="00CA625B">
      <w:pPr>
        <w:numPr>
          <w:ilvl w:val="0"/>
          <w:numId w:val="1"/>
        </w:numPr>
        <w:tabs>
          <w:tab w:val="num" w:pos="1530"/>
        </w:tabs>
        <w:ind w:left="1530" w:hanging="450"/>
      </w:pPr>
      <w:r>
        <w:t>These revenues consist of the Credit Hour grant, the Equalization grant, and the Career and Technical Education grant.</w:t>
      </w:r>
    </w:p>
    <w:p w:rsidR="00CA625B" w:rsidRDefault="00CA625B" w:rsidP="00CA625B">
      <w:pPr>
        <w:numPr>
          <w:ilvl w:val="0"/>
          <w:numId w:val="1"/>
        </w:numPr>
        <w:tabs>
          <w:tab w:val="num" w:pos="1530"/>
        </w:tabs>
        <w:ind w:left="1530" w:hanging="450"/>
      </w:pPr>
      <w:r>
        <w:t>The assumption within the budget is FY2017 state funding will be reduced by 20% of state funding received in FY2015.</w:t>
      </w:r>
    </w:p>
    <w:p w:rsidR="00CA625B" w:rsidRPr="009711FF" w:rsidRDefault="00CA625B" w:rsidP="00CA625B">
      <w:pPr>
        <w:numPr>
          <w:ilvl w:val="0"/>
          <w:numId w:val="1"/>
        </w:numPr>
        <w:tabs>
          <w:tab w:val="num" w:pos="1530"/>
        </w:tabs>
        <w:ind w:left="1530" w:hanging="450"/>
      </w:pPr>
      <w:r>
        <w:t xml:space="preserve">The projected FY2016 fund balance includes $349,362 of unpaid state funding.  </w:t>
      </w:r>
    </w:p>
    <w:p w:rsidR="00CA625B" w:rsidRDefault="00CA625B" w:rsidP="00CA625B">
      <w:pPr>
        <w:tabs>
          <w:tab w:val="num" w:pos="1530"/>
        </w:tabs>
        <w:ind w:left="1530"/>
      </w:pPr>
    </w:p>
    <w:p w:rsidR="00CA625B" w:rsidRPr="00C11039" w:rsidRDefault="00CA625B" w:rsidP="00CA625B">
      <w:pPr>
        <w:ind w:left="1440" w:hanging="720"/>
      </w:pPr>
      <w:r>
        <w:t>Tuition and Fees</w:t>
      </w:r>
    </w:p>
    <w:p w:rsidR="00CA625B" w:rsidRDefault="00CA625B" w:rsidP="00CA625B">
      <w:pPr>
        <w:numPr>
          <w:ilvl w:val="0"/>
          <w:numId w:val="1"/>
        </w:numPr>
        <w:tabs>
          <w:tab w:val="num" w:pos="1530"/>
        </w:tabs>
        <w:ind w:left="1530" w:hanging="450"/>
      </w:pPr>
      <w:r>
        <w:t xml:space="preserve">The assumption within the budget is FY2017 enrollment will be flat. </w:t>
      </w:r>
    </w:p>
    <w:p w:rsidR="00CA625B" w:rsidRDefault="00CA625B" w:rsidP="00CA625B">
      <w:pPr>
        <w:numPr>
          <w:ilvl w:val="0"/>
          <w:numId w:val="1"/>
        </w:numPr>
        <w:tabs>
          <w:tab w:val="num" w:pos="1530"/>
        </w:tabs>
        <w:ind w:left="1530" w:hanging="450"/>
      </w:pPr>
      <w:r>
        <w:t>FY2017 tuition reflects a $7 rate increase with $1 per credit hour being transferred to pay off working cash borrowing for road and parking repairs.</w:t>
      </w:r>
    </w:p>
    <w:p w:rsidR="00CA625B" w:rsidRDefault="00CA625B" w:rsidP="00CA625B">
      <w:pPr>
        <w:tabs>
          <w:tab w:val="num" w:pos="2610"/>
        </w:tabs>
        <w:ind w:left="2610"/>
      </w:pPr>
    </w:p>
    <w:p w:rsidR="00CA625B" w:rsidRDefault="00CA625B" w:rsidP="00CA625B">
      <w:pPr>
        <w:tabs>
          <w:tab w:val="num" w:pos="2520"/>
        </w:tabs>
        <w:ind w:left="1440" w:hanging="720"/>
      </w:pPr>
      <w:r>
        <w:t>Sales and services</w:t>
      </w:r>
    </w:p>
    <w:p w:rsidR="00CA625B" w:rsidRDefault="00CA625B" w:rsidP="00CA625B">
      <w:pPr>
        <w:numPr>
          <w:ilvl w:val="0"/>
          <w:numId w:val="12"/>
        </w:numPr>
        <w:tabs>
          <w:tab w:val="clear" w:pos="2880"/>
          <w:tab w:val="left" w:pos="1530"/>
          <w:tab w:val="num" w:pos="2610"/>
        </w:tabs>
        <w:ind w:left="1530" w:hanging="450"/>
      </w:pPr>
      <w:r>
        <w:t>These revenues consist of the non-credit revenue from the Business and Community Education department.</w:t>
      </w:r>
    </w:p>
    <w:p w:rsidR="00CA625B" w:rsidRDefault="00CA625B" w:rsidP="00CA625B">
      <w:pPr>
        <w:tabs>
          <w:tab w:val="num" w:pos="2520"/>
        </w:tabs>
        <w:ind w:left="1440" w:hanging="720"/>
      </w:pPr>
    </w:p>
    <w:p w:rsidR="00CA625B" w:rsidRDefault="00CA625B" w:rsidP="00CA625B">
      <w:pPr>
        <w:tabs>
          <w:tab w:val="num" w:pos="2520"/>
        </w:tabs>
        <w:ind w:left="1440" w:hanging="720"/>
      </w:pPr>
      <w:r>
        <w:t>Other Revenue</w:t>
      </w:r>
    </w:p>
    <w:p w:rsidR="00CA625B" w:rsidRDefault="00CA625B" w:rsidP="00CA625B">
      <w:pPr>
        <w:numPr>
          <w:ilvl w:val="0"/>
          <w:numId w:val="12"/>
        </w:numPr>
        <w:tabs>
          <w:tab w:val="clear" w:pos="2880"/>
          <w:tab w:val="left" w:pos="1530"/>
          <w:tab w:val="num" w:pos="2610"/>
        </w:tabs>
        <w:ind w:left="1530" w:hanging="450"/>
      </w:pPr>
      <w:r>
        <w:t>These revenue consist of fines, stop pay fees, and administrative costs for grants.</w:t>
      </w:r>
    </w:p>
    <w:p w:rsidR="00CA625B" w:rsidRDefault="00CA625B" w:rsidP="00CA625B">
      <w:pPr>
        <w:tabs>
          <w:tab w:val="left" w:pos="1530"/>
        </w:tabs>
      </w:pPr>
    </w:p>
    <w:p w:rsidR="00CA625B" w:rsidRDefault="00CA625B" w:rsidP="00CA625B"/>
    <w:p w:rsidR="00CA625B" w:rsidRDefault="00CA625B" w:rsidP="00CA625B"/>
    <w:p w:rsidR="00CA625B" w:rsidRDefault="00CA625B" w:rsidP="00CA625B"/>
    <w:p w:rsidR="00CA625B" w:rsidRDefault="00CA625B" w:rsidP="00CA625B">
      <w:r>
        <w:t>Expenditures:</w:t>
      </w:r>
    </w:p>
    <w:p w:rsidR="00CA625B" w:rsidRDefault="00CA625B" w:rsidP="00CA625B">
      <w:r w:rsidRPr="00B72D5F">
        <w:rPr>
          <w:noProof/>
        </w:rPr>
        <w:lastRenderedPageBreak/>
        <w:drawing>
          <wp:inline distT="0" distB="0" distL="0" distR="0" wp14:anchorId="63D380A3" wp14:editId="43FAE4F3">
            <wp:extent cx="5486400" cy="185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850065"/>
                    </a:xfrm>
                    <a:prstGeom prst="rect">
                      <a:avLst/>
                    </a:prstGeom>
                    <a:noFill/>
                    <a:ln>
                      <a:noFill/>
                    </a:ln>
                  </pic:spPr>
                </pic:pic>
              </a:graphicData>
            </a:graphic>
          </wp:inline>
        </w:drawing>
      </w:r>
    </w:p>
    <w:p w:rsidR="00CA625B" w:rsidRDefault="00CA625B" w:rsidP="00CA625B"/>
    <w:p w:rsidR="00CA625B" w:rsidRDefault="00CA625B" w:rsidP="00CA625B">
      <w:pPr>
        <w:ind w:firstLine="720"/>
      </w:pPr>
      <w:r>
        <w:t xml:space="preserve">Instruction </w:t>
      </w:r>
    </w:p>
    <w:p w:rsidR="00CA625B" w:rsidRDefault="00CA625B" w:rsidP="00CA625B">
      <w:pPr>
        <w:numPr>
          <w:ilvl w:val="0"/>
          <w:numId w:val="2"/>
        </w:numPr>
        <w:tabs>
          <w:tab w:val="num" w:pos="1530"/>
        </w:tabs>
        <w:ind w:left="1530" w:hanging="450"/>
      </w:pPr>
      <w:r>
        <w:t xml:space="preserve">These expenditures consist of salaries, benefits, and direct costs of the academic programs. </w:t>
      </w:r>
    </w:p>
    <w:p w:rsidR="00CA625B" w:rsidRDefault="00CA625B" w:rsidP="00CA625B"/>
    <w:p w:rsidR="00CA625B" w:rsidRDefault="00CA625B" w:rsidP="00CA625B">
      <w:pPr>
        <w:ind w:firstLine="720"/>
      </w:pPr>
      <w:r>
        <w:t xml:space="preserve">Academic support </w:t>
      </w:r>
    </w:p>
    <w:p w:rsidR="00CA625B" w:rsidRDefault="00CA625B" w:rsidP="00CA625B">
      <w:pPr>
        <w:numPr>
          <w:ilvl w:val="1"/>
          <w:numId w:val="2"/>
        </w:numPr>
        <w:tabs>
          <w:tab w:val="clear" w:pos="3600"/>
          <w:tab w:val="num" w:pos="1530"/>
        </w:tabs>
        <w:ind w:left="1530" w:hanging="450"/>
      </w:pPr>
      <w:r>
        <w:t>These expenditures consist of salaries, benefits, and direct costs of the library, instructional technology, and the academic deans.</w:t>
      </w:r>
    </w:p>
    <w:p w:rsidR="00CA625B" w:rsidRDefault="00CA625B" w:rsidP="00CA625B">
      <w:pPr>
        <w:numPr>
          <w:ilvl w:val="1"/>
          <w:numId w:val="2"/>
        </w:numPr>
        <w:tabs>
          <w:tab w:val="clear" w:pos="3600"/>
          <w:tab w:val="num" w:pos="1530"/>
        </w:tabs>
        <w:ind w:left="1530" w:hanging="450"/>
      </w:pPr>
      <w:r>
        <w:t>The FY2017 budget increase is due to the implementation cost for new Canvas program, Director of CTE stipend, additional costs associated with changes in placement testing, and moving a portion of Health Professions and Natural Science Assistants salary to academic support rather than all instruction.</w:t>
      </w:r>
    </w:p>
    <w:p w:rsidR="00CA625B" w:rsidRDefault="00CA625B" w:rsidP="00CA625B">
      <w:pPr>
        <w:ind w:left="2160"/>
      </w:pPr>
      <w:r>
        <w:tab/>
      </w:r>
    </w:p>
    <w:p w:rsidR="00CA625B" w:rsidRDefault="00CA625B" w:rsidP="00CA625B">
      <w:pPr>
        <w:ind w:left="720"/>
      </w:pPr>
      <w:r>
        <w:t>Student services</w:t>
      </w:r>
    </w:p>
    <w:p w:rsidR="00CA625B" w:rsidRDefault="00CA625B" w:rsidP="00CA625B">
      <w:pPr>
        <w:numPr>
          <w:ilvl w:val="0"/>
          <w:numId w:val="3"/>
        </w:numPr>
        <w:tabs>
          <w:tab w:val="clear" w:pos="3300"/>
          <w:tab w:val="num" w:pos="1530"/>
        </w:tabs>
        <w:ind w:left="1530" w:hanging="450"/>
      </w:pPr>
      <w:r>
        <w:t>These expenditures consist of salaries, benefits, and direct costs of the student service dean, admissions, financial aid, and counseling offices.</w:t>
      </w:r>
    </w:p>
    <w:p w:rsidR="00CA625B" w:rsidRDefault="00CA625B" w:rsidP="00CA625B">
      <w:pPr>
        <w:numPr>
          <w:ilvl w:val="0"/>
          <w:numId w:val="3"/>
        </w:numPr>
        <w:tabs>
          <w:tab w:val="clear" w:pos="3300"/>
          <w:tab w:val="num" w:pos="1530"/>
        </w:tabs>
        <w:ind w:left="1530" w:hanging="450"/>
      </w:pPr>
      <w:r>
        <w:t>The FY2017 budget increase is due to the College paying $40,000 of Talent Search grants salaries and benefits, additional instructional supplies and contractual expense for DSO office, full staffing of enrollment specialist, and moving orientation expense from FYE to Admissions.</w:t>
      </w:r>
    </w:p>
    <w:p w:rsidR="00CA625B" w:rsidRDefault="00CA625B" w:rsidP="00CA625B"/>
    <w:p w:rsidR="00CA625B" w:rsidRDefault="00CA625B" w:rsidP="00CA625B">
      <w:pPr>
        <w:ind w:firstLine="720"/>
      </w:pPr>
      <w:r>
        <w:t>Continuing education</w:t>
      </w:r>
    </w:p>
    <w:p w:rsidR="00CA625B" w:rsidRDefault="00CA625B" w:rsidP="00CA625B">
      <w:pPr>
        <w:numPr>
          <w:ilvl w:val="0"/>
          <w:numId w:val="3"/>
        </w:numPr>
        <w:tabs>
          <w:tab w:val="clear" w:pos="3300"/>
          <w:tab w:val="num" w:pos="1530"/>
        </w:tabs>
        <w:ind w:left="1530" w:hanging="450"/>
      </w:pPr>
      <w:r>
        <w:t>These expenditures consist of salaries, benefits, and direct costs for Business and Community Education.</w:t>
      </w:r>
    </w:p>
    <w:p w:rsidR="00CA625B" w:rsidRDefault="00CA625B" w:rsidP="00CA625B">
      <w:pPr>
        <w:numPr>
          <w:ilvl w:val="0"/>
          <w:numId w:val="3"/>
        </w:numPr>
        <w:tabs>
          <w:tab w:val="clear" w:pos="3300"/>
          <w:tab w:val="num" w:pos="1530"/>
        </w:tabs>
        <w:ind w:left="1530" w:hanging="450"/>
      </w:pPr>
      <w:r>
        <w:t>The FY2017 budget increase is due to advertising for Community Education being moved from Marketing Department and the addition of the Center for Small Business Development expenses as we have not received the grant funding notification.</w:t>
      </w:r>
    </w:p>
    <w:p w:rsidR="00CA625B" w:rsidRDefault="00CA625B" w:rsidP="00CA625B">
      <w:pPr>
        <w:ind w:firstLine="720"/>
      </w:pPr>
    </w:p>
    <w:p w:rsidR="00CA625B" w:rsidRDefault="00CA625B" w:rsidP="00CA625B">
      <w:pPr>
        <w:ind w:firstLine="720"/>
      </w:pPr>
    </w:p>
    <w:p w:rsidR="00CA625B" w:rsidRDefault="00CA625B" w:rsidP="00CA625B">
      <w:pPr>
        <w:ind w:firstLine="720"/>
      </w:pPr>
    </w:p>
    <w:p w:rsidR="00CA625B" w:rsidRDefault="00CA625B" w:rsidP="00CA625B">
      <w:pPr>
        <w:ind w:firstLine="720"/>
      </w:pPr>
      <w:r>
        <w:t>Institutional support</w:t>
      </w:r>
    </w:p>
    <w:p w:rsidR="00CA625B" w:rsidRDefault="00CA625B" w:rsidP="00CA625B">
      <w:pPr>
        <w:numPr>
          <w:ilvl w:val="0"/>
          <w:numId w:val="4"/>
        </w:numPr>
        <w:tabs>
          <w:tab w:val="clear" w:pos="3300"/>
          <w:tab w:val="num" w:pos="1530"/>
        </w:tabs>
        <w:ind w:left="1530" w:hanging="450"/>
      </w:pPr>
      <w:r>
        <w:t>These expenditures consist of salaries, benefits, and direct costs of the executive administration, fiscal operations, marketing, and administrative data processing.</w:t>
      </w:r>
    </w:p>
    <w:p w:rsidR="00CA625B" w:rsidRDefault="00CA625B" w:rsidP="00CA625B">
      <w:pPr>
        <w:numPr>
          <w:ilvl w:val="0"/>
          <w:numId w:val="4"/>
        </w:numPr>
        <w:tabs>
          <w:tab w:val="clear" w:pos="3300"/>
          <w:tab w:val="num" w:pos="1530"/>
        </w:tabs>
        <w:ind w:left="1530" w:hanging="450"/>
      </w:pPr>
      <w:r>
        <w:lastRenderedPageBreak/>
        <w:t>The FY2017 budget increase is due to the addition of the Vice President of Institutional Development position.</w:t>
      </w:r>
    </w:p>
    <w:p w:rsidR="00CA625B" w:rsidRDefault="00CA625B" w:rsidP="00CA625B"/>
    <w:p w:rsidR="00CA625B" w:rsidRPr="000037C6" w:rsidRDefault="00CA625B" w:rsidP="00CA625B">
      <w:pPr>
        <w:ind w:firstLine="720"/>
        <w:rPr>
          <w:szCs w:val="24"/>
        </w:rPr>
      </w:pPr>
      <w:r w:rsidRPr="000037C6">
        <w:rPr>
          <w:szCs w:val="24"/>
        </w:rPr>
        <w:t xml:space="preserve">Scholarships, grants, waivers </w:t>
      </w:r>
    </w:p>
    <w:p w:rsidR="00CA625B" w:rsidRDefault="00CA625B" w:rsidP="00CA625B">
      <w:pPr>
        <w:numPr>
          <w:ilvl w:val="0"/>
          <w:numId w:val="5"/>
        </w:numPr>
        <w:tabs>
          <w:tab w:val="clear" w:pos="3300"/>
          <w:tab w:val="num" w:pos="1530"/>
        </w:tabs>
        <w:ind w:left="1530" w:hanging="450"/>
      </w:pPr>
      <w:r>
        <w:t>These expenditures consist of tuition waivers for employees, Sauk Scholars, dual enrollees, and athletes.</w:t>
      </w:r>
    </w:p>
    <w:p w:rsidR="00CA625B" w:rsidRDefault="00CA625B" w:rsidP="00CA625B">
      <w:pPr>
        <w:numPr>
          <w:ilvl w:val="0"/>
          <w:numId w:val="5"/>
        </w:numPr>
        <w:tabs>
          <w:tab w:val="clear" w:pos="3300"/>
          <w:tab w:val="num" w:pos="1530"/>
        </w:tabs>
        <w:ind w:left="1530" w:hanging="450"/>
      </w:pPr>
      <w:r>
        <w:t>The FY2017 budget increase is due to increase in Dual Credit offerings and increases in academic and athletic waivers.</w:t>
      </w:r>
    </w:p>
    <w:p w:rsidR="00CA625B" w:rsidRDefault="00CA625B" w:rsidP="00CA625B"/>
    <w:p w:rsidR="00CA625B" w:rsidRDefault="00CA625B" w:rsidP="00CA625B"/>
    <w:p w:rsidR="00CA625B" w:rsidRDefault="00CA625B" w:rsidP="00CA625B">
      <w:r>
        <w:t>The following table reclassifies the program costs into expense categories.</w:t>
      </w:r>
    </w:p>
    <w:p w:rsidR="00CA625B" w:rsidRDefault="00CA625B" w:rsidP="00CA625B">
      <w:r w:rsidRPr="00C54781">
        <w:rPr>
          <w:noProof/>
        </w:rPr>
        <w:drawing>
          <wp:inline distT="0" distB="0" distL="0" distR="0" wp14:anchorId="0B2E2229" wp14:editId="03E1373F">
            <wp:extent cx="5486400" cy="1850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50065"/>
                    </a:xfrm>
                    <a:prstGeom prst="rect">
                      <a:avLst/>
                    </a:prstGeom>
                    <a:noFill/>
                    <a:ln>
                      <a:noFill/>
                    </a:ln>
                  </pic:spPr>
                </pic:pic>
              </a:graphicData>
            </a:graphic>
          </wp:inline>
        </w:drawing>
      </w:r>
    </w:p>
    <w:p w:rsidR="00CA625B" w:rsidRDefault="00CA625B" w:rsidP="00CA625B"/>
    <w:p w:rsidR="00CA625B" w:rsidRDefault="00CA625B" w:rsidP="00CA625B">
      <w:r>
        <w:t>Transfers:</w:t>
      </w:r>
    </w:p>
    <w:p w:rsidR="00CA625B" w:rsidRDefault="00CA625B" w:rsidP="00CA625B">
      <w:r w:rsidRPr="00B72D5F">
        <w:rPr>
          <w:noProof/>
        </w:rPr>
        <w:drawing>
          <wp:inline distT="0" distB="0" distL="0" distR="0" wp14:anchorId="72110FC6" wp14:editId="13971F5C">
            <wp:extent cx="5486400" cy="677826"/>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77826"/>
                    </a:xfrm>
                    <a:prstGeom prst="rect">
                      <a:avLst/>
                    </a:prstGeom>
                    <a:noFill/>
                    <a:ln>
                      <a:noFill/>
                    </a:ln>
                  </pic:spPr>
                </pic:pic>
              </a:graphicData>
            </a:graphic>
          </wp:inline>
        </w:drawing>
      </w:r>
    </w:p>
    <w:p w:rsidR="00CA625B" w:rsidRDefault="00CA625B" w:rsidP="00CA625B"/>
    <w:p w:rsidR="00CA625B" w:rsidRDefault="00CA625B" w:rsidP="00CA625B">
      <w:r>
        <w:t>Fund balance:</w:t>
      </w:r>
    </w:p>
    <w:tbl>
      <w:tblPr>
        <w:tblW w:w="5196" w:type="dxa"/>
        <w:tblInd w:w="108" w:type="dxa"/>
        <w:tblLook w:val="0000" w:firstRow="0" w:lastRow="0" w:firstColumn="0" w:lastColumn="0" w:noHBand="0" w:noVBand="0"/>
      </w:tblPr>
      <w:tblGrid>
        <w:gridCol w:w="4020"/>
        <w:gridCol w:w="1176"/>
      </w:tblGrid>
      <w:tr w:rsidR="00CA625B" w:rsidRPr="00A23ACE"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FY16 Fund balance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6,468,512 </w:t>
            </w:r>
          </w:p>
        </w:tc>
      </w:tr>
      <w:tr w:rsidR="00CA625B" w:rsidRPr="00A23ACE"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Net income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(831,781) </w:t>
            </w:r>
          </w:p>
        </w:tc>
      </w:tr>
      <w:tr w:rsidR="00CA625B" w:rsidRPr="00A23ACE" w:rsidTr="006E4345">
        <w:trPr>
          <w:trHeight w:val="330"/>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FY16 Fund balance</w:t>
            </w:r>
          </w:p>
        </w:tc>
        <w:tc>
          <w:tcPr>
            <w:tcW w:w="1176" w:type="dxa"/>
            <w:tcBorders>
              <w:top w:val="single" w:sz="4" w:space="0" w:color="auto"/>
              <w:left w:val="nil"/>
              <w:bottom w:val="double" w:sz="6" w:space="0" w:color="auto"/>
              <w:right w:val="nil"/>
            </w:tcBorders>
            <w:shd w:val="clear" w:color="auto" w:fill="auto"/>
            <w:noWrap/>
            <w:vAlign w:val="bottom"/>
          </w:tcPr>
          <w:p w:rsidR="00CA625B" w:rsidRDefault="00CA625B" w:rsidP="006E4345">
            <w:pPr>
              <w:jc w:val="right"/>
              <w:rPr>
                <w:szCs w:val="24"/>
              </w:rPr>
            </w:pPr>
            <w:r>
              <w:t xml:space="preserve">    5,636,731 </w:t>
            </w:r>
          </w:p>
        </w:tc>
      </w:tr>
    </w:tbl>
    <w:p w:rsidR="00CA625B" w:rsidRDefault="00CA625B" w:rsidP="00CA625B">
      <w:pPr>
        <w:ind w:left="1080"/>
      </w:pPr>
    </w:p>
    <w:p w:rsidR="00CA625B" w:rsidRDefault="00CA625B" w:rsidP="00CA625B">
      <w:pPr>
        <w:ind w:left="1080"/>
      </w:pPr>
    </w:p>
    <w:p w:rsidR="00CA625B" w:rsidRPr="00140A7A" w:rsidRDefault="00CA625B" w:rsidP="00CA625B">
      <w:pPr>
        <w:ind w:left="1530"/>
        <w:rPr>
          <w:sz w:val="28"/>
          <w:szCs w:val="28"/>
        </w:rPr>
      </w:pPr>
    </w:p>
    <w:p w:rsidR="00CA625B" w:rsidRDefault="00CA625B" w:rsidP="00CA625B">
      <w:r>
        <w:br w:type="page"/>
      </w:r>
      <w:r>
        <w:rPr>
          <w:b/>
        </w:rPr>
        <w:lastRenderedPageBreak/>
        <w:t>O</w:t>
      </w:r>
      <w:r w:rsidRPr="00274B29">
        <w:rPr>
          <w:b/>
        </w:rPr>
        <w:t>peration and Maintenance Fund</w:t>
      </w:r>
      <w:r>
        <w:t xml:space="preserve"> (Fund 2)</w:t>
      </w:r>
    </w:p>
    <w:p w:rsidR="00CA625B" w:rsidRDefault="00CA625B" w:rsidP="00CA625B"/>
    <w:p w:rsidR="00CA625B" w:rsidRDefault="00CA625B" w:rsidP="00CA625B">
      <w:r>
        <w:t>Revenue sources:</w:t>
      </w:r>
    </w:p>
    <w:p w:rsidR="00CA625B" w:rsidRDefault="00CA625B" w:rsidP="00CA625B">
      <w:r w:rsidRPr="00C54781">
        <w:rPr>
          <w:noProof/>
        </w:rPr>
        <w:drawing>
          <wp:inline distT="0" distB="0" distL="0" distR="0" wp14:anchorId="279ACCC9" wp14:editId="78AF15FB">
            <wp:extent cx="5486400" cy="2017528"/>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017528"/>
                    </a:xfrm>
                    <a:prstGeom prst="rect">
                      <a:avLst/>
                    </a:prstGeom>
                    <a:noFill/>
                    <a:ln>
                      <a:noFill/>
                    </a:ln>
                  </pic:spPr>
                </pic:pic>
              </a:graphicData>
            </a:graphic>
          </wp:inline>
        </w:drawing>
      </w:r>
    </w:p>
    <w:p w:rsidR="00CA625B" w:rsidRDefault="00CA625B" w:rsidP="00CA625B">
      <w:pPr>
        <w:pStyle w:val="ListParagraph"/>
        <w:numPr>
          <w:ilvl w:val="0"/>
          <w:numId w:val="15"/>
        </w:numPr>
        <w:tabs>
          <w:tab w:val="num" w:pos="1530"/>
        </w:tabs>
      </w:pPr>
      <w:r>
        <w:t>State Funding is budgeted at 20% of funding that was received in FY2015.</w:t>
      </w:r>
    </w:p>
    <w:p w:rsidR="00CA625B" w:rsidRDefault="00CA625B" w:rsidP="00CA625B">
      <w:pPr>
        <w:pStyle w:val="ListParagraph"/>
        <w:numPr>
          <w:ilvl w:val="0"/>
          <w:numId w:val="15"/>
        </w:numPr>
        <w:tabs>
          <w:tab w:val="num" w:pos="1530"/>
        </w:tabs>
      </w:pPr>
      <w:r>
        <w:t>Tuition reflects a $7 per credit hour increase.</w:t>
      </w:r>
    </w:p>
    <w:p w:rsidR="00CA625B" w:rsidRDefault="00CA625B" w:rsidP="00CA625B">
      <w:pPr>
        <w:pStyle w:val="ListParagraph"/>
        <w:numPr>
          <w:ilvl w:val="0"/>
          <w:numId w:val="15"/>
        </w:numPr>
        <w:tabs>
          <w:tab w:val="num" w:pos="1530"/>
        </w:tabs>
      </w:pPr>
      <w:r>
        <w:t xml:space="preserve">FY2017 enrollment is budgeted as flat. </w:t>
      </w:r>
    </w:p>
    <w:p w:rsidR="00CA625B" w:rsidRDefault="00CA625B" w:rsidP="00CA625B">
      <w:pPr>
        <w:tabs>
          <w:tab w:val="num" w:pos="1530"/>
        </w:tabs>
      </w:pPr>
    </w:p>
    <w:p w:rsidR="00CA625B" w:rsidRDefault="00CA625B" w:rsidP="00CA625B">
      <w:pPr>
        <w:tabs>
          <w:tab w:val="num" w:pos="1530"/>
        </w:tabs>
      </w:pPr>
      <w:r>
        <w:t>Expenditures</w:t>
      </w:r>
    </w:p>
    <w:p w:rsidR="00CA625B" w:rsidRDefault="00CA625B" w:rsidP="00CA625B">
      <w:pPr>
        <w:tabs>
          <w:tab w:val="num" w:pos="1530"/>
        </w:tabs>
        <w:rPr>
          <w:noProof/>
        </w:rPr>
      </w:pPr>
      <w:r w:rsidRPr="00C54781">
        <w:rPr>
          <w:noProof/>
        </w:rPr>
        <w:drawing>
          <wp:inline distT="0" distB="0" distL="0" distR="0" wp14:anchorId="6FEB2BA7" wp14:editId="2BF68E0B">
            <wp:extent cx="5486400" cy="2184991"/>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184991"/>
                    </a:xfrm>
                    <a:prstGeom prst="rect">
                      <a:avLst/>
                    </a:prstGeom>
                    <a:noFill/>
                    <a:ln>
                      <a:noFill/>
                    </a:ln>
                  </pic:spPr>
                </pic:pic>
              </a:graphicData>
            </a:graphic>
          </wp:inline>
        </w:drawing>
      </w:r>
    </w:p>
    <w:p w:rsidR="00CA625B" w:rsidRDefault="00CA625B" w:rsidP="00CA625B">
      <w:pPr>
        <w:numPr>
          <w:ilvl w:val="0"/>
          <w:numId w:val="8"/>
        </w:numPr>
        <w:tabs>
          <w:tab w:val="clear" w:pos="2220"/>
        </w:tabs>
        <w:ind w:left="1440" w:hanging="360"/>
      </w:pPr>
      <w:r>
        <w:t>Fixed charges include property insurance</w:t>
      </w:r>
    </w:p>
    <w:p w:rsidR="00CA625B" w:rsidRDefault="00CA625B" w:rsidP="00CA625B"/>
    <w:p w:rsidR="00CA625B" w:rsidRDefault="00CA625B" w:rsidP="00CA625B">
      <w:r>
        <w:t>Transfers:</w:t>
      </w:r>
    </w:p>
    <w:p w:rsidR="00CA625B" w:rsidRDefault="00CA625B" w:rsidP="00CA625B">
      <w:r w:rsidRPr="00F54E84">
        <w:rPr>
          <w:noProof/>
        </w:rPr>
        <w:drawing>
          <wp:inline distT="0" distB="0" distL="0" distR="0" wp14:anchorId="2CB416E3" wp14:editId="13DEC29B">
            <wp:extent cx="5486400" cy="84528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45288"/>
                    </a:xfrm>
                    <a:prstGeom prst="rect">
                      <a:avLst/>
                    </a:prstGeom>
                    <a:noFill/>
                    <a:ln>
                      <a:noFill/>
                    </a:ln>
                  </pic:spPr>
                </pic:pic>
              </a:graphicData>
            </a:graphic>
          </wp:inline>
        </w:drawing>
      </w:r>
      <w:r>
        <w:tab/>
      </w:r>
      <w:r>
        <w:tab/>
        <w:t>Transfers are permitted in and out of this fund.</w:t>
      </w:r>
    </w:p>
    <w:p w:rsidR="00CA625B" w:rsidRDefault="00CA625B" w:rsidP="00CA625B">
      <w:r>
        <w:t>Fund balance:</w:t>
      </w:r>
    </w:p>
    <w:tbl>
      <w:tblPr>
        <w:tblW w:w="4932" w:type="dxa"/>
        <w:tblInd w:w="108" w:type="dxa"/>
        <w:tblLook w:val="04A0" w:firstRow="1" w:lastRow="0" w:firstColumn="1" w:lastColumn="0" w:noHBand="0" w:noVBand="1"/>
      </w:tblPr>
      <w:tblGrid>
        <w:gridCol w:w="3576"/>
        <w:gridCol w:w="1356"/>
      </w:tblGrid>
      <w:tr w:rsidR="00CA625B" w:rsidRPr="0086757E" w:rsidTr="006E4345">
        <w:trPr>
          <w:trHeight w:val="315"/>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FY16 Fund balance</w:t>
            </w:r>
          </w:p>
        </w:tc>
        <w:tc>
          <w:tcPr>
            <w:tcW w:w="1356" w:type="dxa"/>
            <w:tcBorders>
              <w:top w:val="nil"/>
              <w:left w:val="nil"/>
              <w:bottom w:val="nil"/>
              <w:right w:val="nil"/>
            </w:tcBorders>
            <w:shd w:val="clear" w:color="auto" w:fill="auto"/>
            <w:noWrap/>
            <w:vAlign w:val="bottom"/>
            <w:hideMark/>
          </w:tcPr>
          <w:p w:rsidR="00CA625B" w:rsidRDefault="00CA625B" w:rsidP="006E4345">
            <w:pPr>
              <w:jc w:val="right"/>
              <w:rPr>
                <w:szCs w:val="24"/>
              </w:rPr>
            </w:pPr>
            <w:r>
              <w:t>0</w:t>
            </w:r>
          </w:p>
        </w:tc>
      </w:tr>
      <w:tr w:rsidR="00CA625B" w:rsidRPr="0086757E" w:rsidTr="006E4345">
        <w:trPr>
          <w:trHeight w:val="315"/>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FY17 Net income</w:t>
            </w:r>
          </w:p>
        </w:tc>
        <w:tc>
          <w:tcPr>
            <w:tcW w:w="1356" w:type="dxa"/>
            <w:tcBorders>
              <w:top w:val="nil"/>
              <w:left w:val="nil"/>
              <w:bottom w:val="single" w:sz="4" w:space="0" w:color="auto"/>
              <w:right w:val="nil"/>
            </w:tcBorders>
            <w:shd w:val="clear" w:color="auto" w:fill="auto"/>
            <w:noWrap/>
            <w:vAlign w:val="bottom"/>
            <w:hideMark/>
          </w:tcPr>
          <w:p w:rsidR="00CA625B" w:rsidRDefault="00CA625B" w:rsidP="006E4345">
            <w:pPr>
              <w:jc w:val="right"/>
              <w:rPr>
                <w:szCs w:val="24"/>
              </w:rPr>
            </w:pPr>
            <w:r>
              <w:t xml:space="preserve">           777</w:t>
            </w:r>
          </w:p>
        </w:tc>
      </w:tr>
      <w:tr w:rsidR="00CA625B" w:rsidRPr="0086757E" w:rsidTr="006E4345">
        <w:trPr>
          <w:trHeight w:val="330"/>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FY17 Fund balance</w:t>
            </w:r>
          </w:p>
        </w:tc>
        <w:tc>
          <w:tcPr>
            <w:tcW w:w="1356" w:type="dxa"/>
            <w:tcBorders>
              <w:left w:val="nil"/>
              <w:bottom w:val="double" w:sz="6" w:space="0" w:color="auto"/>
              <w:right w:val="nil"/>
            </w:tcBorders>
            <w:shd w:val="clear" w:color="auto" w:fill="auto"/>
            <w:noWrap/>
            <w:vAlign w:val="bottom"/>
            <w:hideMark/>
          </w:tcPr>
          <w:p w:rsidR="00CA625B" w:rsidRDefault="00CA625B" w:rsidP="006E4345">
            <w:pPr>
              <w:jc w:val="right"/>
              <w:rPr>
                <w:szCs w:val="24"/>
              </w:rPr>
            </w:pPr>
            <w:r>
              <w:t xml:space="preserve">          777 </w:t>
            </w:r>
          </w:p>
        </w:tc>
      </w:tr>
    </w:tbl>
    <w:p w:rsidR="00CA625B" w:rsidRDefault="00CA625B" w:rsidP="00CA625B">
      <w:r>
        <w:tab/>
      </w:r>
    </w:p>
    <w:p w:rsidR="00CA625B" w:rsidRDefault="00CA625B" w:rsidP="00CA625B">
      <w:r>
        <w:rPr>
          <w:b/>
        </w:rPr>
        <w:br w:type="page"/>
      </w:r>
      <w:r>
        <w:rPr>
          <w:b/>
        </w:rPr>
        <w:lastRenderedPageBreak/>
        <w:t>Restricted Purposes Fund</w:t>
      </w:r>
      <w:r>
        <w:t xml:space="preserve"> (Fund 6)</w:t>
      </w:r>
    </w:p>
    <w:p w:rsidR="00CA625B" w:rsidRDefault="00CA625B" w:rsidP="00CA625B"/>
    <w:p w:rsidR="00CA625B" w:rsidRDefault="00CA625B" w:rsidP="00CA625B">
      <w:r>
        <w:t>Revenue sources:</w:t>
      </w:r>
    </w:p>
    <w:p w:rsidR="00CA625B" w:rsidRDefault="00CA625B" w:rsidP="00CA625B"/>
    <w:p w:rsidR="00CA625B" w:rsidRDefault="00CA625B" w:rsidP="00CA625B">
      <w:r w:rsidRPr="00293266">
        <w:rPr>
          <w:noProof/>
        </w:rPr>
        <w:drawing>
          <wp:inline distT="0" distB="0" distL="0" distR="0" wp14:anchorId="63DC7A5D" wp14:editId="1C4F3B9F">
            <wp:extent cx="5486400" cy="11802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80214"/>
                    </a:xfrm>
                    <a:prstGeom prst="rect">
                      <a:avLst/>
                    </a:prstGeom>
                    <a:noFill/>
                    <a:ln>
                      <a:noFill/>
                    </a:ln>
                  </pic:spPr>
                </pic:pic>
              </a:graphicData>
            </a:graphic>
          </wp:inline>
        </w:drawing>
      </w:r>
      <w:r>
        <w:tab/>
      </w:r>
    </w:p>
    <w:p w:rsidR="00CA625B" w:rsidRPr="00CC3362" w:rsidRDefault="00CA625B" w:rsidP="00CA625B">
      <w:pPr>
        <w:numPr>
          <w:ilvl w:val="0"/>
          <w:numId w:val="7"/>
        </w:numPr>
        <w:tabs>
          <w:tab w:val="clear" w:pos="720"/>
          <w:tab w:val="num" w:pos="1530"/>
        </w:tabs>
        <w:ind w:left="1530" w:hanging="450"/>
      </w:pPr>
      <w:r>
        <w:t>State revenue decreased due to no state funding for MAP Grants and a decrease in Adult Ed.</w:t>
      </w:r>
    </w:p>
    <w:p w:rsidR="00CA625B" w:rsidRDefault="00CA625B" w:rsidP="00CA625B">
      <w:pPr>
        <w:numPr>
          <w:ilvl w:val="0"/>
          <w:numId w:val="7"/>
        </w:numPr>
        <w:tabs>
          <w:tab w:val="clear" w:pos="720"/>
          <w:tab w:val="num" w:pos="1530"/>
        </w:tabs>
        <w:ind w:left="1530" w:hanging="450"/>
      </w:pPr>
      <w:r>
        <w:t>Federal revenue</w:t>
      </w:r>
      <w:r w:rsidRPr="00CC3362">
        <w:t xml:space="preserve"> </w:t>
      </w:r>
      <w:r>
        <w:t>will increase due to the anticipation of the Talent Search Grant and SBDC Grant</w:t>
      </w:r>
      <w:r w:rsidRPr="00CC3362">
        <w:t>.</w:t>
      </w:r>
    </w:p>
    <w:p w:rsidR="00CA625B" w:rsidRPr="00CC3362" w:rsidRDefault="00CA625B" w:rsidP="00CA625B">
      <w:pPr>
        <w:numPr>
          <w:ilvl w:val="0"/>
          <w:numId w:val="7"/>
        </w:numPr>
        <w:tabs>
          <w:tab w:val="clear" w:pos="720"/>
          <w:tab w:val="num" w:pos="1530"/>
        </w:tabs>
        <w:ind w:left="1530" w:hanging="450"/>
      </w:pPr>
      <w:r>
        <w:t>Other revenue will decrease due receiving funding for the PASS program and AHEC in FY16.</w:t>
      </w:r>
    </w:p>
    <w:p w:rsidR="00CA625B" w:rsidRDefault="00CA625B" w:rsidP="00CA625B">
      <w:pPr>
        <w:ind w:left="1530"/>
      </w:pPr>
    </w:p>
    <w:p w:rsidR="00CA625B" w:rsidRDefault="00CA625B" w:rsidP="00CA625B">
      <w:pPr>
        <w:ind w:left="1530"/>
      </w:pPr>
    </w:p>
    <w:p w:rsidR="00CA625B" w:rsidRDefault="00CA625B" w:rsidP="00CA625B">
      <w:r>
        <w:t>Expenditures:</w:t>
      </w:r>
    </w:p>
    <w:p w:rsidR="00CA625B" w:rsidRDefault="00CA625B" w:rsidP="00CA625B"/>
    <w:p w:rsidR="00CA625B" w:rsidRDefault="00CA625B" w:rsidP="00CA625B">
      <w:r w:rsidRPr="001E4025">
        <w:rPr>
          <w:noProof/>
        </w:rPr>
        <w:drawing>
          <wp:inline distT="0" distB="0" distL="0" distR="0" wp14:anchorId="26AF0394" wp14:editId="2328FCD0">
            <wp:extent cx="5486400" cy="134767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1347677"/>
                    </a:xfrm>
                    <a:prstGeom prst="rect">
                      <a:avLst/>
                    </a:prstGeom>
                    <a:noFill/>
                    <a:ln>
                      <a:noFill/>
                    </a:ln>
                  </pic:spPr>
                </pic:pic>
              </a:graphicData>
            </a:graphic>
          </wp:inline>
        </w:drawing>
      </w:r>
    </w:p>
    <w:p w:rsidR="00CA625B" w:rsidRDefault="00CA625B" w:rsidP="00CA625B"/>
    <w:p w:rsidR="00CA625B" w:rsidRDefault="00CA625B" w:rsidP="00CA625B">
      <w:pPr>
        <w:pStyle w:val="ListParagraph"/>
        <w:numPr>
          <w:ilvl w:val="0"/>
          <w:numId w:val="14"/>
        </w:numPr>
      </w:pPr>
      <w:r>
        <w:t>The balance of the grants must be used by their fiscal year end.</w:t>
      </w:r>
    </w:p>
    <w:p w:rsidR="00CA625B" w:rsidRPr="00DE6FBF" w:rsidRDefault="00CA625B" w:rsidP="00CA625B">
      <w:pPr>
        <w:pStyle w:val="ListParagraph"/>
        <w:numPr>
          <w:ilvl w:val="0"/>
          <w:numId w:val="14"/>
        </w:numPr>
      </w:pPr>
      <w:r>
        <w:t>The decrease in Instruction is due to a reduction in Adult Ed Funding.</w:t>
      </w:r>
    </w:p>
    <w:p w:rsidR="00CA625B" w:rsidRDefault="00CA625B" w:rsidP="00CA625B">
      <w:pPr>
        <w:pStyle w:val="ListParagraph"/>
        <w:numPr>
          <w:ilvl w:val="0"/>
          <w:numId w:val="14"/>
        </w:numPr>
      </w:pPr>
      <w:r w:rsidRPr="00DE6FBF">
        <w:t xml:space="preserve">The </w:t>
      </w:r>
      <w:r>
        <w:t>in</w:t>
      </w:r>
      <w:r w:rsidRPr="00DE6FBF">
        <w:t xml:space="preserve">crease in </w:t>
      </w:r>
      <w:r>
        <w:t>Student Services is due to the anticipation of the Talent Search Grant.</w:t>
      </w:r>
    </w:p>
    <w:p w:rsidR="00CA625B" w:rsidRDefault="00CA625B" w:rsidP="00CA625B">
      <w:pPr>
        <w:pStyle w:val="ListParagraph"/>
        <w:numPr>
          <w:ilvl w:val="0"/>
          <w:numId w:val="14"/>
        </w:numPr>
      </w:pPr>
      <w:r>
        <w:t>The increase in Public Services is due to the anticipation of the SBDC grant.</w:t>
      </w:r>
      <w:r>
        <w:br w:type="page"/>
      </w:r>
      <w:r w:rsidRPr="0049436D">
        <w:rPr>
          <w:b/>
        </w:rPr>
        <w:lastRenderedPageBreak/>
        <w:t>Audit Fund</w:t>
      </w:r>
      <w:r>
        <w:t xml:space="preserve"> (Fund 11)</w:t>
      </w:r>
    </w:p>
    <w:p w:rsidR="00CA625B" w:rsidRDefault="00CA625B" w:rsidP="00CA625B"/>
    <w:p w:rsidR="00CA625B" w:rsidRDefault="00CA625B" w:rsidP="00CA625B">
      <w:r>
        <w:t>Revenue sources:</w:t>
      </w:r>
    </w:p>
    <w:p w:rsidR="00CA625B" w:rsidRDefault="00CA625B" w:rsidP="00CA625B">
      <w:r w:rsidRPr="00E8738F">
        <w:rPr>
          <w:noProof/>
        </w:rPr>
        <w:drawing>
          <wp:inline distT="0" distB="0" distL="0" distR="0" wp14:anchorId="76778C4E" wp14:editId="634E76E2">
            <wp:extent cx="5486400" cy="773349"/>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773349"/>
                    </a:xfrm>
                    <a:prstGeom prst="rect">
                      <a:avLst/>
                    </a:prstGeom>
                    <a:noFill/>
                    <a:ln>
                      <a:noFill/>
                    </a:ln>
                  </pic:spPr>
                </pic:pic>
              </a:graphicData>
            </a:graphic>
          </wp:inline>
        </w:drawing>
      </w:r>
    </w:p>
    <w:p w:rsidR="00CA625B" w:rsidRDefault="00CA625B" w:rsidP="00CA625B">
      <w:pPr>
        <w:ind w:left="1530"/>
      </w:pPr>
    </w:p>
    <w:p w:rsidR="00CA625B" w:rsidRDefault="00CA625B" w:rsidP="00CA625B">
      <w:pPr>
        <w:numPr>
          <w:ilvl w:val="0"/>
          <w:numId w:val="9"/>
        </w:numPr>
        <w:tabs>
          <w:tab w:val="clear" w:pos="1800"/>
          <w:tab w:val="num" w:pos="1530"/>
        </w:tabs>
        <w:ind w:left="1530" w:hanging="450"/>
      </w:pPr>
      <w:r>
        <w:t>Property taxes are levied based on the annual audit costs.</w:t>
      </w:r>
    </w:p>
    <w:p w:rsidR="00CA625B" w:rsidRDefault="00CA625B" w:rsidP="00CA625B"/>
    <w:p w:rsidR="00CA625B" w:rsidRDefault="00CA625B" w:rsidP="00CA625B"/>
    <w:p w:rsidR="00CA625B" w:rsidRDefault="00CA625B" w:rsidP="00CA625B">
      <w:r>
        <w:t>Expenditures:</w:t>
      </w:r>
    </w:p>
    <w:p w:rsidR="00CA625B" w:rsidRDefault="00CA625B" w:rsidP="00CA625B">
      <w:r w:rsidRPr="00E8738F">
        <w:rPr>
          <w:noProof/>
        </w:rPr>
        <w:drawing>
          <wp:inline distT="0" distB="0" distL="0" distR="0" wp14:anchorId="5433A154" wp14:editId="5BC0FC90">
            <wp:extent cx="5486400" cy="1180214"/>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180214"/>
                    </a:xfrm>
                    <a:prstGeom prst="rect">
                      <a:avLst/>
                    </a:prstGeom>
                    <a:noFill/>
                    <a:ln>
                      <a:noFill/>
                    </a:ln>
                  </pic:spPr>
                </pic:pic>
              </a:graphicData>
            </a:graphic>
          </wp:inline>
        </w:drawing>
      </w:r>
    </w:p>
    <w:p w:rsidR="00CA625B" w:rsidRDefault="00CA625B" w:rsidP="00CA625B">
      <w:pPr>
        <w:ind w:left="1800"/>
      </w:pPr>
    </w:p>
    <w:p w:rsidR="00CA625B" w:rsidRDefault="00CA625B" w:rsidP="00CA625B">
      <w:pPr>
        <w:numPr>
          <w:ilvl w:val="0"/>
          <w:numId w:val="9"/>
        </w:numPr>
      </w:pPr>
      <w:r>
        <w:t>Salary and benefits from the Director of Business Services and the Staff Accountant are expensed in this fund to cover audit preparation.</w:t>
      </w:r>
    </w:p>
    <w:p w:rsidR="00CA625B" w:rsidRDefault="00CA625B" w:rsidP="00CA625B"/>
    <w:p w:rsidR="00CA625B" w:rsidRDefault="00CA625B" w:rsidP="00CA625B"/>
    <w:p w:rsidR="00CA625B" w:rsidRDefault="00CA625B" w:rsidP="00CA625B">
      <w:r>
        <w:t>Fund balance:</w:t>
      </w:r>
    </w:p>
    <w:tbl>
      <w:tblPr>
        <w:tblW w:w="4936" w:type="dxa"/>
        <w:tblInd w:w="108" w:type="dxa"/>
        <w:tblLook w:val="0000" w:firstRow="0" w:lastRow="0" w:firstColumn="0" w:lastColumn="0" w:noHBand="0" w:noVBand="0"/>
      </w:tblPr>
      <w:tblGrid>
        <w:gridCol w:w="4020"/>
        <w:gridCol w:w="916"/>
      </w:tblGrid>
      <w:tr w:rsidR="00CA625B" w:rsidRPr="00A23ACE"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FY16 Fund balance</w:t>
            </w:r>
          </w:p>
        </w:tc>
        <w:tc>
          <w:tcPr>
            <w:tcW w:w="91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   </w:t>
            </w:r>
          </w:p>
        </w:tc>
      </w:tr>
      <w:tr w:rsidR="00CA625B" w:rsidRPr="00A23ACE"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Net income</w:t>
            </w:r>
          </w:p>
        </w:tc>
        <w:tc>
          <w:tcPr>
            <w:tcW w:w="91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1,564</w:t>
            </w:r>
          </w:p>
        </w:tc>
      </w:tr>
      <w:tr w:rsidR="00CA625B" w:rsidRPr="00A23ACE" w:rsidTr="006E4345">
        <w:trPr>
          <w:trHeight w:val="330"/>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Fund balance</w:t>
            </w:r>
          </w:p>
        </w:tc>
        <w:tc>
          <w:tcPr>
            <w:tcW w:w="916" w:type="dxa"/>
            <w:tcBorders>
              <w:top w:val="single" w:sz="4" w:space="0" w:color="auto"/>
              <w:left w:val="nil"/>
              <w:bottom w:val="double" w:sz="6" w:space="0" w:color="auto"/>
              <w:right w:val="nil"/>
            </w:tcBorders>
            <w:shd w:val="clear" w:color="auto" w:fill="auto"/>
            <w:noWrap/>
            <w:vAlign w:val="bottom"/>
          </w:tcPr>
          <w:p w:rsidR="00CA625B" w:rsidRDefault="00CA625B" w:rsidP="006E4345">
            <w:pPr>
              <w:jc w:val="right"/>
              <w:rPr>
                <w:szCs w:val="24"/>
              </w:rPr>
            </w:pPr>
            <w:r>
              <w:t xml:space="preserve">         1,564</w:t>
            </w:r>
          </w:p>
        </w:tc>
      </w:tr>
    </w:tbl>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r>
        <w:rPr>
          <w:b/>
        </w:rPr>
        <w:lastRenderedPageBreak/>
        <w:t xml:space="preserve">Liability, Protection and Settlement Fund </w:t>
      </w:r>
      <w:r>
        <w:t>(Fund 12, Tort Fund)</w:t>
      </w:r>
    </w:p>
    <w:p w:rsidR="00CA625B" w:rsidRPr="00BB6CA7" w:rsidRDefault="00CA625B" w:rsidP="00CA625B"/>
    <w:p w:rsidR="00CA625B" w:rsidRDefault="00CA625B" w:rsidP="00CA625B">
      <w:r>
        <w:t>Revenues sources:</w:t>
      </w:r>
    </w:p>
    <w:p w:rsidR="00CA625B" w:rsidRDefault="00CA625B" w:rsidP="00CA625B">
      <w:r>
        <w:tab/>
      </w:r>
      <w:r>
        <w:tab/>
      </w:r>
    </w:p>
    <w:p w:rsidR="00CA625B" w:rsidRDefault="00CA625B" w:rsidP="00CA625B">
      <w:r w:rsidRPr="00623F13">
        <w:rPr>
          <w:noProof/>
        </w:rPr>
        <w:drawing>
          <wp:inline distT="0" distB="0" distL="0" distR="0" wp14:anchorId="15A6137B" wp14:editId="1F461021">
            <wp:extent cx="5486400" cy="1180214"/>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180214"/>
                    </a:xfrm>
                    <a:prstGeom prst="rect">
                      <a:avLst/>
                    </a:prstGeom>
                    <a:noFill/>
                    <a:ln>
                      <a:noFill/>
                    </a:ln>
                  </pic:spPr>
                </pic:pic>
              </a:graphicData>
            </a:graphic>
          </wp:inline>
        </w:drawing>
      </w:r>
    </w:p>
    <w:p w:rsidR="00CA625B" w:rsidRDefault="00CA625B" w:rsidP="00CA625B">
      <w:pPr>
        <w:ind w:left="1530"/>
      </w:pPr>
    </w:p>
    <w:p w:rsidR="00CA625B" w:rsidRDefault="00CA625B" w:rsidP="00CA625B">
      <w:pPr>
        <w:numPr>
          <w:ilvl w:val="0"/>
          <w:numId w:val="8"/>
        </w:numPr>
        <w:tabs>
          <w:tab w:val="clear" w:pos="2220"/>
          <w:tab w:val="num" w:pos="1530"/>
        </w:tabs>
        <w:ind w:left="1530" w:hanging="450"/>
      </w:pPr>
      <w:r>
        <w:t>Property taxes are levied based on the annual needs of this fund.</w:t>
      </w:r>
    </w:p>
    <w:p w:rsidR="00CA625B" w:rsidRDefault="00CA625B" w:rsidP="00CA625B">
      <w:pPr>
        <w:ind w:left="1530"/>
      </w:pPr>
    </w:p>
    <w:p w:rsidR="00CA625B" w:rsidRDefault="00CA625B" w:rsidP="00CA625B">
      <w:pPr>
        <w:ind w:left="1080"/>
      </w:pPr>
    </w:p>
    <w:p w:rsidR="00CA625B" w:rsidRDefault="00CA625B" w:rsidP="00CA625B">
      <w:r>
        <w:t xml:space="preserve">Expenditures: </w:t>
      </w:r>
    </w:p>
    <w:p w:rsidR="00CA625B" w:rsidRDefault="00CA625B" w:rsidP="00CA625B"/>
    <w:p w:rsidR="00CA625B" w:rsidRDefault="00CA625B" w:rsidP="00CA625B">
      <w:r w:rsidRPr="00C54781">
        <w:rPr>
          <w:noProof/>
        </w:rPr>
        <w:drawing>
          <wp:inline distT="0" distB="0" distL="0" distR="0" wp14:anchorId="5DE58F8A" wp14:editId="4AC07AE6">
            <wp:extent cx="5486400" cy="20175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017528"/>
                    </a:xfrm>
                    <a:prstGeom prst="rect">
                      <a:avLst/>
                    </a:prstGeom>
                    <a:noFill/>
                    <a:ln>
                      <a:noFill/>
                    </a:ln>
                  </pic:spPr>
                </pic:pic>
              </a:graphicData>
            </a:graphic>
          </wp:inline>
        </w:drawing>
      </w:r>
    </w:p>
    <w:p w:rsidR="00CA625B" w:rsidRDefault="00CA625B" w:rsidP="00CA625B"/>
    <w:p w:rsidR="00CA625B" w:rsidRDefault="00CA625B" w:rsidP="00CA625B">
      <w:pPr>
        <w:numPr>
          <w:ilvl w:val="0"/>
          <w:numId w:val="8"/>
        </w:numPr>
        <w:tabs>
          <w:tab w:val="clear" w:pos="2220"/>
        </w:tabs>
        <w:ind w:left="1440" w:hanging="360"/>
      </w:pPr>
      <w:r>
        <w:t>Salaries reflect security staff and allocations of salaries for those who have risk management duties.</w:t>
      </w:r>
    </w:p>
    <w:p w:rsidR="00CA625B" w:rsidRDefault="00CA625B" w:rsidP="00CA625B">
      <w:pPr>
        <w:rPr>
          <w:szCs w:val="24"/>
        </w:rPr>
      </w:pPr>
    </w:p>
    <w:p w:rsidR="00CA625B" w:rsidRDefault="00CA625B" w:rsidP="00CA625B">
      <w:pPr>
        <w:rPr>
          <w:szCs w:val="24"/>
        </w:rPr>
      </w:pPr>
    </w:p>
    <w:p w:rsidR="00CA625B" w:rsidRDefault="00CA625B" w:rsidP="00CA625B">
      <w:pPr>
        <w:rPr>
          <w:szCs w:val="24"/>
        </w:rPr>
      </w:pPr>
    </w:p>
    <w:p w:rsidR="00CA625B" w:rsidRDefault="00CA625B" w:rsidP="00CA625B">
      <w:r w:rsidRPr="00DF15F8">
        <w:rPr>
          <w:szCs w:val="24"/>
        </w:rPr>
        <w:t>Fund balance</w:t>
      </w:r>
      <w:r>
        <w:t>:</w:t>
      </w:r>
    </w:p>
    <w:tbl>
      <w:tblPr>
        <w:tblW w:w="4932" w:type="dxa"/>
        <w:tblInd w:w="108" w:type="dxa"/>
        <w:tblLook w:val="04A0" w:firstRow="1" w:lastRow="0" w:firstColumn="1" w:lastColumn="0" w:noHBand="0" w:noVBand="1"/>
      </w:tblPr>
      <w:tblGrid>
        <w:gridCol w:w="3576"/>
        <w:gridCol w:w="1356"/>
      </w:tblGrid>
      <w:tr w:rsidR="00CA625B" w:rsidRPr="007E4090" w:rsidTr="006E4345">
        <w:trPr>
          <w:trHeight w:val="288"/>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FY16 Fund balance</w:t>
            </w:r>
          </w:p>
        </w:tc>
        <w:tc>
          <w:tcPr>
            <w:tcW w:w="1356" w:type="dxa"/>
            <w:tcBorders>
              <w:top w:val="nil"/>
              <w:left w:val="nil"/>
              <w:bottom w:val="nil"/>
              <w:right w:val="nil"/>
            </w:tcBorders>
            <w:shd w:val="clear" w:color="auto" w:fill="auto"/>
            <w:noWrap/>
            <w:vAlign w:val="bottom"/>
            <w:hideMark/>
          </w:tcPr>
          <w:p w:rsidR="00CA625B" w:rsidRDefault="00CA625B" w:rsidP="006E4345">
            <w:pPr>
              <w:jc w:val="right"/>
              <w:rPr>
                <w:szCs w:val="24"/>
              </w:rPr>
            </w:pPr>
            <w:r>
              <w:t xml:space="preserve">    4,240,000 </w:t>
            </w:r>
          </w:p>
        </w:tc>
      </w:tr>
      <w:tr w:rsidR="00CA625B" w:rsidRPr="007E4090" w:rsidTr="006E4345">
        <w:trPr>
          <w:trHeight w:val="288"/>
        </w:trPr>
        <w:tc>
          <w:tcPr>
            <w:tcW w:w="3576" w:type="dxa"/>
            <w:tcBorders>
              <w:top w:val="nil"/>
              <w:left w:val="nil"/>
              <w:bottom w:val="nil"/>
              <w:right w:val="nil"/>
            </w:tcBorders>
            <w:shd w:val="clear" w:color="auto" w:fill="auto"/>
            <w:noWrap/>
            <w:vAlign w:val="bottom"/>
          </w:tcPr>
          <w:p w:rsidR="00CA625B" w:rsidRDefault="00CA625B" w:rsidP="006E4345"/>
        </w:tc>
        <w:tc>
          <w:tcPr>
            <w:tcW w:w="1356" w:type="dxa"/>
            <w:tcBorders>
              <w:top w:val="nil"/>
              <w:left w:val="nil"/>
              <w:bottom w:val="nil"/>
              <w:right w:val="nil"/>
            </w:tcBorders>
            <w:shd w:val="clear" w:color="auto" w:fill="auto"/>
            <w:noWrap/>
            <w:vAlign w:val="bottom"/>
          </w:tcPr>
          <w:p w:rsidR="00CA625B" w:rsidRDefault="00CA625B" w:rsidP="006E4345">
            <w:pPr>
              <w:jc w:val="right"/>
            </w:pPr>
          </w:p>
        </w:tc>
      </w:tr>
      <w:tr w:rsidR="00CA625B" w:rsidRPr="007E4090" w:rsidTr="006E4345">
        <w:trPr>
          <w:trHeight w:val="288"/>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FY17 Net income</w:t>
            </w:r>
          </w:p>
        </w:tc>
        <w:tc>
          <w:tcPr>
            <w:tcW w:w="1356" w:type="dxa"/>
            <w:tcBorders>
              <w:top w:val="nil"/>
              <w:left w:val="nil"/>
              <w:bottom w:val="nil"/>
              <w:right w:val="nil"/>
            </w:tcBorders>
            <w:shd w:val="clear" w:color="auto" w:fill="auto"/>
            <w:noWrap/>
            <w:vAlign w:val="bottom"/>
            <w:hideMark/>
          </w:tcPr>
          <w:p w:rsidR="00CA625B" w:rsidRDefault="00CA625B" w:rsidP="006E4345">
            <w:pPr>
              <w:jc w:val="right"/>
              <w:rPr>
                <w:szCs w:val="24"/>
              </w:rPr>
            </w:pPr>
            <w:r>
              <w:t xml:space="preserve">     (45)</w:t>
            </w:r>
          </w:p>
        </w:tc>
      </w:tr>
      <w:tr w:rsidR="00CA625B" w:rsidRPr="007E4090" w:rsidTr="006E4345">
        <w:trPr>
          <w:trHeight w:val="330"/>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FY17 Fund balance</w:t>
            </w:r>
          </w:p>
        </w:tc>
        <w:tc>
          <w:tcPr>
            <w:tcW w:w="1356" w:type="dxa"/>
            <w:tcBorders>
              <w:top w:val="single" w:sz="4" w:space="0" w:color="auto"/>
              <w:left w:val="nil"/>
              <w:bottom w:val="double" w:sz="6" w:space="0" w:color="auto"/>
              <w:right w:val="nil"/>
            </w:tcBorders>
            <w:shd w:val="clear" w:color="auto" w:fill="auto"/>
            <w:noWrap/>
            <w:vAlign w:val="bottom"/>
            <w:hideMark/>
          </w:tcPr>
          <w:p w:rsidR="00CA625B" w:rsidRDefault="00CA625B" w:rsidP="006E4345">
            <w:pPr>
              <w:jc w:val="right"/>
              <w:rPr>
                <w:szCs w:val="24"/>
              </w:rPr>
            </w:pPr>
            <w:r>
              <w:t xml:space="preserve">    4,239,955 </w:t>
            </w:r>
          </w:p>
        </w:tc>
      </w:tr>
    </w:tbl>
    <w:p w:rsidR="00CA625B" w:rsidRDefault="00CA625B" w:rsidP="00CA625B">
      <w:r>
        <w:br w:type="page"/>
      </w:r>
      <w:r>
        <w:rPr>
          <w:b/>
        </w:rPr>
        <w:lastRenderedPageBreak/>
        <w:t xml:space="preserve">Working Cash Fund </w:t>
      </w:r>
      <w:r>
        <w:t>(Fund 7)</w:t>
      </w:r>
    </w:p>
    <w:p w:rsidR="00CA625B" w:rsidRPr="00BB6CA7" w:rsidRDefault="00CA625B" w:rsidP="00CA625B"/>
    <w:p w:rsidR="00CA625B" w:rsidRDefault="00CA625B" w:rsidP="00CA625B">
      <w:r>
        <w:t>Revenues sources:</w:t>
      </w:r>
    </w:p>
    <w:p w:rsidR="00CA625B" w:rsidRDefault="00CA625B" w:rsidP="00CA625B">
      <w:r w:rsidRPr="00623F13">
        <w:rPr>
          <w:noProof/>
        </w:rPr>
        <w:drawing>
          <wp:inline distT="0" distB="0" distL="0" distR="0" wp14:anchorId="55379442" wp14:editId="503F857D">
            <wp:extent cx="5486400" cy="677826"/>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677826"/>
                    </a:xfrm>
                    <a:prstGeom prst="rect">
                      <a:avLst/>
                    </a:prstGeom>
                    <a:noFill/>
                    <a:ln>
                      <a:noFill/>
                    </a:ln>
                  </pic:spPr>
                </pic:pic>
              </a:graphicData>
            </a:graphic>
          </wp:inline>
        </w:drawing>
      </w:r>
    </w:p>
    <w:p w:rsidR="00CA625B" w:rsidRDefault="00CA625B" w:rsidP="00CA625B"/>
    <w:p w:rsidR="00CA625B" w:rsidRDefault="00CA625B" w:rsidP="00CA625B">
      <w:pPr>
        <w:numPr>
          <w:ilvl w:val="0"/>
          <w:numId w:val="9"/>
        </w:numPr>
        <w:tabs>
          <w:tab w:val="clear" w:pos="1800"/>
          <w:tab w:val="num" w:pos="1530"/>
        </w:tabs>
        <w:ind w:left="1530" w:hanging="450"/>
      </w:pPr>
      <w:r>
        <w:t>Investment income is earned on the principal from working cash bonds sold in prior years.</w:t>
      </w:r>
    </w:p>
    <w:p w:rsidR="00CA625B" w:rsidRDefault="00CA625B" w:rsidP="00CA625B"/>
    <w:p w:rsidR="00CA625B" w:rsidRDefault="00CA625B" w:rsidP="00CA625B"/>
    <w:p w:rsidR="00CA625B" w:rsidRDefault="00CA625B" w:rsidP="00CA625B">
      <w:r>
        <w:t>Transfers:</w:t>
      </w:r>
    </w:p>
    <w:p w:rsidR="00CA625B" w:rsidRDefault="00CA625B" w:rsidP="00CA625B"/>
    <w:p w:rsidR="00CA625B" w:rsidRDefault="00CA625B" w:rsidP="00CA625B">
      <w:r w:rsidRPr="003746D9">
        <w:rPr>
          <w:noProof/>
        </w:rPr>
        <w:drawing>
          <wp:inline distT="0" distB="0" distL="0" distR="0" wp14:anchorId="2FF0DA43" wp14:editId="45F20B9D">
            <wp:extent cx="5486400" cy="10127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1012751"/>
                    </a:xfrm>
                    <a:prstGeom prst="rect">
                      <a:avLst/>
                    </a:prstGeom>
                    <a:noFill/>
                    <a:ln>
                      <a:noFill/>
                    </a:ln>
                  </pic:spPr>
                </pic:pic>
              </a:graphicData>
            </a:graphic>
          </wp:inline>
        </w:drawing>
      </w:r>
    </w:p>
    <w:p w:rsidR="00CA625B" w:rsidRDefault="00CA625B" w:rsidP="00CA625B">
      <w:pPr>
        <w:ind w:left="1620"/>
      </w:pPr>
    </w:p>
    <w:p w:rsidR="00CA625B" w:rsidRDefault="00CA625B" w:rsidP="00CA625B">
      <w:pPr>
        <w:numPr>
          <w:ilvl w:val="0"/>
          <w:numId w:val="6"/>
        </w:numPr>
        <w:tabs>
          <w:tab w:val="clear" w:pos="1860"/>
          <w:tab w:val="num" w:pos="1620"/>
        </w:tabs>
        <w:ind w:left="1620" w:hanging="540"/>
      </w:pPr>
      <w:r>
        <w:t xml:space="preserve">Transfers to other funds were approved by the Board to be used for parking lot and road repairs.  </w:t>
      </w:r>
    </w:p>
    <w:p w:rsidR="00CA625B" w:rsidRDefault="00CA625B" w:rsidP="00CA625B">
      <w:pPr>
        <w:numPr>
          <w:ilvl w:val="0"/>
          <w:numId w:val="6"/>
        </w:numPr>
        <w:tabs>
          <w:tab w:val="clear" w:pos="1860"/>
          <w:tab w:val="num" w:pos="1620"/>
        </w:tabs>
        <w:ind w:left="1620" w:hanging="540"/>
      </w:pPr>
      <w:r>
        <w:t>Transfers from other funds are the $1 tuition increase that has been earmarked to pay funds back.</w:t>
      </w:r>
    </w:p>
    <w:p w:rsidR="00CA625B" w:rsidRDefault="00CA625B" w:rsidP="00CA625B"/>
    <w:p w:rsidR="00CA625B" w:rsidRDefault="00CA625B" w:rsidP="00CA625B"/>
    <w:p w:rsidR="00CA625B" w:rsidRDefault="00CA625B" w:rsidP="00CA625B">
      <w:r>
        <w:t>Fund balance:</w:t>
      </w:r>
    </w:p>
    <w:tbl>
      <w:tblPr>
        <w:tblW w:w="5196" w:type="dxa"/>
        <w:tblInd w:w="108" w:type="dxa"/>
        <w:tblLook w:val="0000" w:firstRow="0" w:lastRow="0" w:firstColumn="0" w:lastColumn="0" w:noHBand="0" w:noVBand="0"/>
      </w:tblPr>
      <w:tblGrid>
        <w:gridCol w:w="4020"/>
        <w:gridCol w:w="1176"/>
      </w:tblGrid>
      <w:tr w:rsidR="00CA625B" w:rsidRPr="008D7289"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FY16 Fund balance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2,218,000 </w:t>
            </w:r>
          </w:p>
        </w:tc>
      </w:tr>
      <w:tr w:rsidR="00CA625B" w:rsidRPr="008D7289"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Net income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(186,100)   </w:t>
            </w:r>
          </w:p>
        </w:tc>
      </w:tr>
      <w:tr w:rsidR="00CA625B" w:rsidRPr="008D7289" w:rsidTr="006E4345">
        <w:trPr>
          <w:trHeight w:val="330"/>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Fund balance</w:t>
            </w:r>
          </w:p>
        </w:tc>
        <w:tc>
          <w:tcPr>
            <w:tcW w:w="1176" w:type="dxa"/>
            <w:tcBorders>
              <w:top w:val="single" w:sz="4" w:space="0" w:color="auto"/>
              <w:left w:val="nil"/>
              <w:bottom w:val="double" w:sz="6" w:space="0" w:color="auto"/>
              <w:right w:val="nil"/>
            </w:tcBorders>
            <w:shd w:val="clear" w:color="auto" w:fill="auto"/>
            <w:noWrap/>
            <w:vAlign w:val="bottom"/>
          </w:tcPr>
          <w:p w:rsidR="00CA625B" w:rsidRDefault="00CA625B" w:rsidP="006E4345">
            <w:pPr>
              <w:jc w:val="right"/>
              <w:rPr>
                <w:szCs w:val="24"/>
              </w:rPr>
            </w:pPr>
            <w:r>
              <w:t xml:space="preserve">    2,031,900 </w:t>
            </w:r>
          </w:p>
        </w:tc>
      </w:tr>
    </w:tbl>
    <w:p w:rsidR="00CA625B" w:rsidRDefault="00CA625B" w:rsidP="00CA625B"/>
    <w:p w:rsidR="00CA625B" w:rsidRDefault="00CA625B" w:rsidP="00CA625B">
      <w:r>
        <w:br w:type="page"/>
      </w:r>
      <w:r>
        <w:rPr>
          <w:b/>
        </w:rPr>
        <w:lastRenderedPageBreak/>
        <w:t xml:space="preserve">Bond &amp; Interest Fund </w:t>
      </w:r>
      <w:r>
        <w:t>(Fund 4)</w:t>
      </w:r>
    </w:p>
    <w:p w:rsidR="00CA625B" w:rsidRPr="00BB6CA7" w:rsidRDefault="00CA625B" w:rsidP="00CA625B"/>
    <w:p w:rsidR="00CA625B" w:rsidRPr="00BB6CA7" w:rsidRDefault="00CA625B" w:rsidP="00CA625B">
      <w:r>
        <w:t>Revenues sources:</w:t>
      </w:r>
    </w:p>
    <w:p w:rsidR="00CA625B" w:rsidRDefault="00CA625B" w:rsidP="00CA625B"/>
    <w:p w:rsidR="00CA625B" w:rsidRDefault="00CA625B" w:rsidP="00CA625B">
      <w:r w:rsidRPr="003746D9">
        <w:rPr>
          <w:noProof/>
        </w:rPr>
        <w:drawing>
          <wp:inline distT="0" distB="0" distL="0" distR="0" wp14:anchorId="71B4669D" wp14:editId="30D19A69">
            <wp:extent cx="5486400" cy="10127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012751"/>
                    </a:xfrm>
                    <a:prstGeom prst="rect">
                      <a:avLst/>
                    </a:prstGeom>
                    <a:noFill/>
                    <a:ln>
                      <a:noFill/>
                    </a:ln>
                  </pic:spPr>
                </pic:pic>
              </a:graphicData>
            </a:graphic>
          </wp:inline>
        </w:drawing>
      </w:r>
    </w:p>
    <w:p w:rsidR="00CA625B" w:rsidRDefault="00CA625B" w:rsidP="00CA625B">
      <w:pPr>
        <w:ind w:left="1530"/>
      </w:pPr>
    </w:p>
    <w:p w:rsidR="00CA625B" w:rsidRDefault="00CA625B" w:rsidP="00CA625B">
      <w:pPr>
        <w:numPr>
          <w:ilvl w:val="0"/>
          <w:numId w:val="8"/>
        </w:numPr>
        <w:tabs>
          <w:tab w:val="clear" w:pos="2220"/>
          <w:tab w:val="num" w:pos="1530"/>
        </w:tabs>
        <w:ind w:left="1530" w:hanging="450"/>
      </w:pPr>
      <w:r>
        <w:t>Property taxes are levied based on the annual bond repayment schedule.</w:t>
      </w:r>
    </w:p>
    <w:p w:rsidR="00CA625B" w:rsidRDefault="00CA625B" w:rsidP="00CA625B"/>
    <w:p w:rsidR="00CA625B" w:rsidRDefault="00CA625B" w:rsidP="00CA625B"/>
    <w:p w:rsidR="00CA625B" w:rsidRDefault="00CA625B" w:rsidP="00CA625B">
      <w:r>
        <w:t xml:space="preserve">Expenditures: </w:t>
      </w:r>
    </w:p>
    <w:p w:rsidR="00CA625B" w:rsidRDefault="00CA625B" w:rsidP="00CA625B"/>
    <w:p w:rsidR="00CA625B" w:rsidRDefault="00CA625B" w:rsidP="00CA625B">
      <w:r w:rsidRPr="003746D9">
        <w:rPr>
          <w:noProof/>
        </w:rPr>
        <w:drawing>
          <wp:inline distT="0" distB="0" distL="0" distR="0" wp14:anchorId="741D6DE8" wp14:editId="280E4D3A">
            <wp:extent cx="5486400" cy="101275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012751"/>
                    </a:xfrm>
                    <a:prstGeom prst="rect">
                      <a:avLst/>
                    </a:prstGeom>
                    <a:noFill/>
                    <a:ln>
                      <a:noFill/>
                    </a:ln>
                  </pic:spPr>
                </pic:pic>
              </a:graphicData>
            </a:graphic>
          </wp:inline>
        </w:drawing>
      </w:r>
    </w:p>
    <w:p w:rsidR="00CA625B" w:rsidRDefault="00CA625B" w:rsidP="00CA625B">
      <w:pPr>
        <w:ind w:left="1800"/>
      </w:pPr>
    </w:p>
    <w:p w:rsidR="00CA625B" w:rsidRDefault="00CA625B" w:rsidP="00CA625B">
      <w:pPr>
        <w:numPr>
          <w:ilvl w:val="0"/>
          <w:numId w:val="9"/>
        </w:numPr>
      </w:pPr>
      <w:r>
        <w:t>Fixed charges are the scheduled principal and interest payments for the outstanding bonds.</w:t>
      </w:r>
    </w:p>
    <w:p w:rsidR="00CA625B" w:rsidRDefault="00CA625B" w:rsidP="00CA625B"/>
    <w:p w:rsidR="00CA625B" w:rsidRDefault="00CA625B" w:rsidP="00CA625B"/>
    <w:p w:rsidR="00CA625B" w:rsidRDefault="00CA625B" w:rsidP="00CA625B">
      <w:r>
        <w:t>Fund balance:</w:t>
      </w:r>
    </w:p>
    <w:tbl>
      <w:tblPr>
        <w:tblW w:w="5196" w:type="dxa"/>
        <w:tblInd w:w="108" w:type="dxa"/>
        <w:tblLook w:val="0000" w:firstRow="0" w:lastRow="0" w:firstColumn="0" w:lastColumn="0" w:noHBand="0" w:noVBand="0"/>
      </w:tblPr>
      <w:tblGrid>
        <w:gridCol w:w="4020"/>
        <w:gridCol w:w="1176"/>
      </w:tblGrid>
      <w:tr w:rsidR="00CA625B" w:rsidRPr="00F35982"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FY16 Fund balance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775,400 </w:t>
            </w:r>
          </w:p>
        </w:tc>
      </w:tr>
      <w:tr w:rsidR="00CA625B" w:rsidRPr="00F35982" w:rsidTr="006E4345">
        <w:trPr>
          <w:trHeight w:val="315"/>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Net income</w:t>
            </w:r>
          </w:p>
        </w:tc>
        <w:tc>
          <w:tcPr>
            <w:tcW w:w="1176" w:type="dxa"/>
            <w:tcBorders>
              <w:top w:val="nil"/>
              <w:left w:val="nil"/>
              <w:bottom w:val="nil"/>
              <w:right w:val="nil"/>
            </w:tcBorders>
            <w:shd w:val="clear" w:color="auto" w:fill="auto"/>
            <w:noWrap/>
            <w:vAlign w:val="bottom"/>
          </w:tcPr>
          <w:p w:rsidR="00CA625B" w:rsidRDefault="00CA625B" w:rsidP="006E4345">
            <w:pPr>
              <w:jc w:val="right"/>
              <w:rPr>
                <w:szCs w:val="24"/>
              </w:rPr>
            </w:pPr>
            <w:r>
              <w:t xml:space="preserve">         10,325 </w:t>
            </w:r>
          </w:p>
        </w:tc>
      </w:tr>
      <w:tr w:rsidR="00CA625B" w:rsidRPr="00F35982" w:rsidTr="006E4345">
        <w:trPr>
          <w:trHeight w:val="330"/>
        </w:trPr>
        <w:tc>
          <w:tcPr>
            <w:tcW w:w="4020" w:type="dxa"/>
            <w:tcBorders>
              <w:top w:val="nil"/>
              <w:left w:val="nil"/>
              <w:bottom w:val="nil"/>
              <w:right w:val="nil"/>
            </w:tcBorders>
            <w:shd w:val="clear" w:color="auto" w:fill="auto"/>
            <w:noWrap/>
            <w:vAlign w:val="bottom"/>
          </w:tcPr>
          <w:p w:rsidR="00CA625B" w:rsidRDefault="00CA625B" w:rsidP="006E4345">
            <w:pPr>
              <w:rPr>
                <w:szCs w:val="24"/>
              </w:rPr>
            </w:pPr>
            <w:r>
              <w:t>Projected FY17 Fund balance</w:t>
            </w:r>
          </w:p>
        </w:tc>
        <w:tc>
          <w:tcPr>
            <w:tcW w:w="1176" w:type="dxa"/>
            <w:tcBorders>
              <w:top w:val="single" w:sz="4" w:space="0" w:color="auto"/>
              <w:left w:val="nil"/>
              <w:bottom w:val="double" w:sz="6" w:space="0" w:color="auto"/>
              <w:right w:val="nil"/>
            </w:tcBorders>
            <w:shd w:val="clear" w:color="auto" w:fill="auto"/>
            <w:noWrap/>
            <w:vAlign w:val="bottom"/>
          </w:tcPr>
          <w:p w:rsidR="00CA625B" w:rsidRDefault="00CA625B" w:rsidP="006E4345">
            <w:pPr>
              <w:jc w:val="right"/>
              <w:rPr>
                <w:szCs w:val="24"/>
              </w:rPr>
            </w:pPr>
            <w:r>
              <w:t xml:space="preserve">       785,725 </w:t>
            </w:r>
          </w:p>
        </w:tc>
      </w:tr>
    </w:tbl>
    <w:p w:rsidR="00CA625B" w:rsidRDefault="00CA625B" w:rsidP="00CA625B"/>
    <w:p w:rsidR="00CA625B" w:rsidRDefault="00CA625B" w:rsidP="00CA625B"/>
    <w:p w:rsidR="00CA625B" w:rsidRDefault="00CA625B" w:rsidP="00CA625B"/>
    <w:p w:rsidR="00CA625B" w:rsidRDefault="00CA625B" w:rsidP="00CA625B"/>
    <w:p w:rsidR="00CA625B" w:rsidRDefault="00CA625B" w:rsidP="00CA625B">
      <w:r>
        <w:br w:type="page"/>
      </w:r>
    </w:p>
    <w:p w:rsidR="00CA625B" w:rsidRDefault="00CA625B" w:rsidP="00CA625B">
      <w:r>
        <w:rPr>
          <w:b/>
        </w:rPr>
        <w:lastRenderedPageBreak/>
        <w:t xml:space="preserve">Operations &amp; Maintenance Fund- Restricted </w:t>
      </w:r>
      <w:r>
        <w:t>(Fund 3)</w:t>
      </w:r>
    </w:p>
    <w:p w:rsidR="00CA625B" w:rsidRPr="00BB6CA7" w:rsidRDefault="00CA625B" w:rsidP="00CA625B"/>
    <w:p w:rsidR="00CA625B" w:rsidRDefault="00CA625B" w:rsidP="00CA625B">
      <w:r>
        <w:t>Revenues sources:</w:t>
      </w:r>
    </w:p>
    <w:p w:rsidR="00CA625B" w:rsidRDefault="00CA625B" w:rsidP="00CA625B">
      <w:r w:rsidRPr="00D119ED">
        <w:rPr>
          <w:noProof/>
        </w:rPr>
        <w:drawing>
          <wp:inline distT="0" distB="0" distL="0" distR="0" wp14:anchorId="47B56BEF" wp14:editId="15FA7CB4">
            <wp:extent cx="5486400" cy="101275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012751"/>
                    </a:xfrm>
                    <a:prstGeom prst="rect">
                      <a:avLst/>
                    </a:prstGeom>
                    <a:noFill/>
                    <a:ln>
                      <a:noFill/>
                    </a:ln>
                  </pic:spPr>
                </pic:pic>
              </a:graphicData>
            </a:graphic>
          </wp:inline>
        </w:drawing>
      </w:r>
    </w:p>
    <w:p w:rsidR="00CA625B" w:rsidRDefault="00CA625B" w:rsidP="00CA625B"/>
    <w:p w:rsidR="00CA625B" w:rsidRDefault="00CA625B" w:rsidP="00CA625B">
      <w:pPr>
        <w:numPr>
          <w:ilvl w:val="0"/>
          <w:numId w:val="8"/>
        </w:numPr>
        <w:tabs>
          <w:tab w:val="clear" w:pos="2220"/>
          <w:tab w:val="num" w:pos="1530"/>
        </w:tabs>
        <w:ind w:left="1530" w:hanging="450"/>
      </w:pPr>
      <w:r>
        <w:t>Property taxes are levied based on the annual needs of this fund.</w:t>
      </w:r>
    </w:p>
    <w:p w:rsidR="00CA625B" w:rsidRDefault="00CA625B" w:rsidP="00CA625B"/>
    <w:p w:rsidR="00CA625B" w:rsidRDefault="00CA625B" w:rsidP="00CA625B"/>
    <w:p w:rsidR="00CA625B" w:rsidRDefault="00CA625B" w:rsidP="00CA625B">
      <w:r>
        <w:t xml:space="preserve">Expenditures: </w:t>
      </w:r>
    </w:p>
    <w:p w:rsidR="00CA625B" w:rsidRDefault="00CA625B" w:rsidP="00CA625B"/>
    <w:p w:rsidR="00CA625B" w:rsidRDefault="00CA625B" w:rsidP="00CA625B">
      <w:r w:rsidRPr="00D119ED">
        <w:rPr>
          <w:noProof/>
        </w:rPr>
        <w:drawing>
          <wp:inline distT="0" distB="0" distL="0" distR="0" wp14:anchorId="458EC6CE" wp14:editId="116D9645">
            <wp:extent cx="5486400" cy="677826"/>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677826"/>
                    </a:xfrm>
                    <a:prstGeom prst="rect">
                      <a:avLst/>
                    </a:prstGeom>
                    <a:noFill/>
                    <a:ln>
                      <a:noFill/>
                    </a:ln>
                  </pic:spPr>
                </pic:pic>
              </a:graphicData>
            </a:graphic>
          </wp:inline>
        </w:drawing>
      </w:r>
    </w:p>
    <w:p w:rsidR="00CA625B" w:rsidRDefault="00CA625B" w:rsidP="00CA625B">
      <w:pPr>
        <w:ind w:left="1800"/>
      </w:pPr>
    </w:p>
    <w:p w:rsidR="00CA625B" w:rsidRPr="008C4AF1" w:rsidRDefault="00CA625B" w:rsidP="00CA625B">
      <w:pPr>
        <w:numPr>
          <w:ilvl w:val="0"/>
          <w:numId w:val="9"/>
        </w:numPr>
      </w:pPr>
      <w:r>
        <w:t xml:space="preserve">The FY2017 </w:t>
      </w:r>
      <w:r w:rsidRPr="008C4AF1">
        <w:t>Protection, Health</w:t>
      </w:r>
      <w:r>
        <w:t>,</w:t>
      </w:r>
      <w:r w:rsidRPr="008C4AF1">
        <w:t xml:space="preserve"> and Safety </w:t>
      </w:r>
      <w:r>
        <w:t xml:space="preserve">projects include </w:t>
      </w:r>
      <w:r>
        <w:rPr>
          <w:szCs w:val="24"/>
        </w:rPr>
        <w:t>abatement of first floor.</w:t>
      </w:r>
    </w:p>
    <w:p w:rsidR="00CA625B" w:rsidRPr="008C4AF1" w:rsidRDefault="00CA625B" w:rsidP="00CA625B">
      <w:pPr>
        <w:numPr>
          <w:ilvl w:val="0"/>
          <w:numId w:val="9"/>
        </w:numPr>
      </w:pPr>
      <w:r>
        <w:t>In FY2017, funding</w:t>
      </w:r>
      <w:r w:rsidRPr="008C4AF1">
        <w:t xml:space="preserve"> bonds will pay for </w:t>
      </w:r>
      <w:r>
        <w:t>equipment needs and building remodeling</w:t>
      </w:r>
      <w:r>
        <w:rPr>
          <w:szCs w:val="24"/>
        </w:rPr>
        <w:t>.</w:t>
      </w:r>
    </w:p>
    <w:p w:rsidR="00CA625B" w:rsidRPr="00B43909" w:rsidRDefault="00CA625B" w:rsidP="00CA625B">
      <w:pPr>
        <w:ind w:left="1440"/>
        <w:rPr>
          <w:szCs w:val="24"/>
        </w:rPr>
      </w:pPr>
    </w:p>
    <w:tbl>
      <w:tblPr>
        <w:tblW w:w="3080" w:type="dxa"/>
        <w:tblInd w:w="93" w:type="dxa"/>
        <w:tblLook w:val="04A0" w:firstRow="1" w:lastRow="0" w:firstColumn="1" w:lastColumn="0" w:noHBand="0" w:noVBand="1"/>
      </w:tblPr>
      <w:tblGrid>
        <w:gridCol w:w="3080"/>
      </w:tblGrid>
      <w:tr w:rsidR="00CA625B" w:rsidRPr="00B43909" w:rsidTr="006E4345">
        <w:trPr>
          <w:trHeight w:val="255"/>
        </w:trPr>
        <w:tc>
          <w:tcPr>
            <w:tcW w:w="3080" w:type="dxa"/>
            <w:tcBorders>
              <w:top w:val="nil"/>
              <w:left w:val="nil"/>
              <w:bottom w:val="nil"/>
              <w:right w:val="nil"/>
            </w:tcBorders>
            <w:shd w:val="clear" w:color="auto" w:fill="auto"/>
            <w:noWrap/>
            <w:vAlign w:val="bottom"/>
            <w:hideMark/>
          </w:tcPr>
          <w:p w:rsidR="00CA625B" w:rsidRPr="00B43909" w:rsidRDefault="00CA625B" w:rsidP="006E4345">
            <w:pPr>
              <w:rPr>
                <w:rFonts w:ascii="Arial" w:hAnsi="Arial" w:cs="Arial"/>
                <w:sz w:val="20"/>
              </w:rPr>
            </w:pPr>
          </w:p>
        </w:tc>
      </w:tr>
    </w:tbl>
    <w:p w:rsidR="00CA625B" w:rsidRDefault="00CA625B" w:rsidP="00CA625B"/>
    <w:p w:rsidR="00CA625B" w:rsidRDefault="00CA625B" w:rsidP="00CA625B">
      <w:r>
        <w:t>Fund balance:</w:t>
      </w:r>
    </w:p>
    <w:tbl>
      <w:tblPr>
        <w:tblW w:w="5172" w:type="dxa"/>
        <w:tblInd w:w="108" w:type="dxa"/>
        <w:tblLook w:val="04A0" w:firstRow="1" w:lastRow="0" w:firstColumn="1" w:lastColumn="0" w:noHBand="0" w:noVBand="1"/>
      </w:tblPr>
      <w:tblGrid>
        <w:gridCol w:w="3576"/>
        <w:gridCol w:w="1596"/>
      </w:tblGrid>
      <w:tr w:rsidR="00CA625B" w:rsidRPr="00086BD5" w:rsidTr="006E4345">
        <w:trPr>
          <w:trHeight w:val="315"/>
        </w:trPr>
        <w:tc>
          <w:tcPr>
            <w:tcW w:w="3576" w:type="dxa"/>
            <w:tcBorders>
              <w:top w:val="nil"/>
              <w:left w:val="nil"/>
              <w:bottom w:val="nil"/>
              <w:right w:val="nil"/>
            </w:tcBorders>
            <w:shd w:val="clear" w:color="auto" w:fill="auto"/>
            <w:noWrap/>
            <w:vAlign w:val="bottom"/>
          </w:tcPr>
          <w:p w:rsidR="00CA625B" w:rsidRDefault="00CA625B" w:rsidP="006E4345"/>
        </w:tc>
        <w:tc>
          <w:tcPr>
            <w:tcW w:w="1596" w:type="dxa"/>
            <w:tcBorders>
              <w:top w:val="nil"/>
              <w:left w:val="nil"/>
              <w:bottom w:val="nil"/>
              <w:right w:val="nil"/>
            </w:tcBorders>
            <w:shd w:val="clear" w:color="auto" w:fill="auto"/>
            <w:noWrap/>
            <w:vAlign w:val="bottom"/>
          </w:tcPr>
          <w:p w:rsidR="00CA625B" w:rsidRDefault="00CA625B" w:rsidP="006E4345">
            <w:pPr>
              <w:jc w:val="right"/>
            </w:pPr>
          </w:p>
        </w:tc>
      </w:tr>
      <w:tr w:rsidR="00CA625B" w:rsidRPr="00086BD5" w:rsidTr="006E4345">
        <w:trPr>
          <w:trHeight w:val="315"/>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FY16 Fund balance</w:t>
            </w:r>
          </w:p>
        </w:tc>
        <w:tc>
          <w:tcPr>
            <w:tcW w:w="1596" w:type="dxa"/>
            <w:tcBorders>
              <w:top w:val="nil"/>
              <w:left w:val="nil"/>
              <w:bottom w:val="nil"/>
              <w:right w:val="nil"/>
            </w:tcBorders>
            <w:shd w:val="clear" w:color="auto" w:fill="auto"/>
            <w:noWrap/>
            <w:vAlign w:val="bottom"/>
            <w:hideMark/>
          </w:tcPr>
          <w:p w:rsidR="00CA625B" w:rsidRDefault="00CA625B" w:rsidP="006E4345">
            <w:pPr>
              <w:jc w:val="right"/>
              <w:rPr>
                <w:szCs w:val="24"/>
              </w:rPr>
            </w:pPr>
            <w:r>
              <w:t xml:space="preserve">    3,867,300 </w:t>
            </w:r>
          </w:p>
        </w:tc>
      </w:tr>
      <w:tr w:rsidR="00CA625B" w:rsidRPr="00086BD5" w:rsidTr="006E4345">
        <w:trPr>
          <w:trHeight w:val="315"/>
        </w:trPr>
        <w:tc>
          <w:tcPr>
            <w:tcW w:w="3576" w:type="dxa"/>
            <w:tcBorders>
              <w:top w:val="nil"/>
              <w:left w:val="nil"/>
              <w:right w:val="nil"/>
            </w:tcBorders>
            <w:shd w:val="clear" w:color="auto" w:fill="auto"/>
            <w:noWrap/>
            <w:vAlign w:val="bottom"/>
          </w:tcPr>
          <w:p w:rsidR="00CA625B" w:rsidRDefault="00CA625B" w:rsidP="006E4345"/>
        </w:tc>
        <w:tc>
          <w:tcPr>
            <w:tcW w:w="1596" w:type="dxa"/>
            <w:tcBorders>
              <w:top w:val="nil"/>
              <w:left w:val="nil"/>
              <w:right w:val="nil"/>
            </w:tcBorders>
            <w:shd w:val="clear" w:color="auto" w:fill="auto"/>
            <w:noWrap/>
            <w:vAlign w:val="bottom"/>
          </w:tcPr>
          <w:p w:rsidR="00CA625B" w:rsidRDefault="00CA625B" w:rsidP="006E4345">
            <w:pPr>
              <w:jc w:val="right"/>
            </w:pPr>
          </w:p>
        </w:tc>
      </w:tr>
      <w:tr w:rsidR="00CA625B" w:rsidRPr="00086BD5" w:rsidTr="006E4345">
        <w:trPr>
          <w:trHeight w:val="315"/>
        </w:trPr>
        <w:tc>
          <w:tcPr>
            <w:tcW w:w="3576" w:type="dxa"/>
            <w:tcBorders>
              <w:top w:val="nil"/>
              <w:left w:val="nil"/>
              <w:right w:val="nil"/>
            </w:tcBorders>
            <w:shd w:val="clear" w:color="auto" w:fill="auto"/>
            <w:noWrap/>
            <w:vAlign w:val="bottom"/>
            <w:hideMark/>
          </w:tcPr>
          <w:p w:rsidR="00CA625B" w:rsidRDefault="00CA625B" w:rsidP="006E4345">
            <w:pPr>
              <w:rPr>
                <w:szCs w:val="24"/>
              </w:rPr>
            </w:pPr>
            <w:r>
              <w:t>Projected FY17 Net income</w:t>
            </w:r>
          </w:p>
        </w:tc>
        <w:tc>
          <w:tcPr>
            <w:tcW w:w="1596" w:type="dxa"/>
            <w:tcBorders>
              <w:top w:val="nil"/>
              <w:left w:val="nil"/>
              <w:bottom w:val="single" w:sz="4" w:space="0" w:color="auto"/>
              <w:right w:val="nil"/>
            </w:tcBorders>
            <w:shd w:val="clear" w:color="auto" w:fill="auto"/>
            <w:noWrap/>
            <w:vAlign w:val="bottom"/>
            <w:hideMark/>
          </w:tcPr>
          <w:p w:rsidR="00CA625B" w:rsidRDefault="00CA625B" w:rsidP="006E4345">
            <w:pPr>
              <w:jc w:val="right"/>
              <w:rPr>
                <w:szCs w:val="24"/>
              </w:rPr>
            </w:pPr>
            <w:r>
              <w:t xml:space="preserve">  (979,800)</w:t>
            </w:r>
          </w:p>
        </w:tc>
      </w:tr>
      <w:tr w:rsidR="00CA625B" w:rsidRPr="00086BD5" w:rsidTr="006E4345">
        <w:trPr>
          <w:trHeight w:val="330"/>
        </w:trPr>
        <w:tc>
          <w:tcPr>
            <w:tcW w:w="3576" w:type="dxa"/>
            <w:tcBorders>
              <w:top w:val="nil"/>
              <w:left w:val="nil"/>
              <w:right w:val="nil"/>
            </w:tcBorders>
            <w:shd w:val="clear" w:color="auto" w:fill="auto"/>
            <w:noWrap/>
            <w:vAlign w:val="bottom"/>
          </w:tcPr>
          <w:p w:rsidR="00CA625B" w:rsidRDefault="00CA625B" w:rsidP="006E4345"/>
        </w:tc>
        <w:tc>
          <w:tcPr>
            <w:tcW w:w="1596" w:type="dxa"/>
            <w:tcBorders>
              <w:top w:val="single" w:sz="4" w:space="0" w:color="auto"/>
              <w:left w:val="nil"/>
              <w:right w:val="nil"/>
            </w:tcBorders>
            <w:shd w:val="clear" w:color="auto" w:fill="auto"/>
            <w:noWrap/>
            <w:vAlign w:val="bottom"/>
          </w:tcPr>
          <w:p w:rsidR="00CA625B" w:rsidRDefault="00CA625B" w:rsidP="006E4345">
            <w:pPr>
              <w:jc w:val="right"/>
            </w:pPr>
          </w:p>
        </w:tc>
      </w:tr>
      <w:tr w:rsidR="00CA625B" w:rsidRPr="00086BD5" w:rsidTr="006E4345">
        <w:trPr>
          <w:trHeight w:val="330"/>
        </w:trPr>
        <w:tc>
          <w:tcPr>
            <w:tcW w:w="3576" w:type="dxa"/>
            <w:tcBorders>
              <w:left w:val="nil"/>
              <w:bottom w:val="nil"/>
              <w:right w:val="nil"/>
            </w:tcBorders>
            <w:shd w:val="clear" w:color="auto" w:fill="auto"/>
            <w:noWrap/>
            <w:vAlign w:val="bottom"/>
            <w:hideMark/>
          </w:tcPr>
          <w:p w:rsidR="00CA625B" w:rsidRDefault="00CA625B" w:rsidP="006E4345">
            <w:pPr>
              <w:rPr>
                <w:szCs w:val="24"/>
              </w:rPr>
            </w:pPr>
            <w:r>
              <w:t>Projected FY17 Fund balance</w:t>
            </w:r>
          </w:p>
        </w:tc>
        <w:tc>
          <w:tcPr>
            <w:tcW w:w="1596" w:type="dxa"/>
            <w:tcBorders>
              <w:left w:val="nil"/>
              <w:bottom w:val="double" w:sz="4" w:space="0" w:color="auto"/>
              <w:right w:val="nil"/>
            </w:tcBorders>
            <w:shd w:val="clear" w:color="auto" w:fill="auto"/>
            <w:noWrap/>
            <w:vAlign w:val="bottom"/>
            <w:hideMark/>
          </w:tcPr>
          <w:p w:rsidR="00CA625B" w:rsidRDefault="00CA625B" w:rsidP="006E4345">
            <w:pPr>
              <w:jc w:val="right"/>
              <w:rPr>
                <w:szCs w:val="24"/>
              </w:rPr>
            </w:pPr>
            <w:r>
              <w:t xml:space="preserve">    2,887,500 </w:t>
            </w:r>
          </w:p>
        </w:tc>
      </w:tr>
    </w:tbl>
    <w:p w:rsidR="00CA625B" w:rsidRDefault="00CA625B" w:rsidP="00CA625B"/>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pPr>
        <w:rPr>
          <w:b/>
        </w:rPr>
      </w:pPr>
    </w:p>
    <w:p w:rsidR="00CA625B" w:rsidRDefault="00CA625B" w:rsidP="00CA625B">
      <w:r>
        <w:rPr>
          <w:b/>
        </w:rPr>
        <w:lastRenderedPageBreak/>
        <w:t xml:space="preserve">Auxiliary Enterprises Fund </w:t>
      </w:r>
      <w:r>
        <w:t>(Fund 5)</w:t>
      </w:r>
    </w:p>
    <w:p w:rsidR="00CA625B" w:rsidRPr="00BB6CA7" w:rsidRDefault="00CA625B" w:rsidP="00CA625B"/>
    <w:p w:rsidR="00CA625B" w:rsidRPr="00BB6CA7" w:rsidRDefault="00CA625B" w:rsidP="00CA625B">
      <w:r>
        <w:t>Revenues sources:</w:t>
      </w:r>
    </w:p>
    <w:p w:rsidR="00CA625B" w:rsidRDefault="00CA625B" w:rsidP="00CA625B"/>
    <w:p w:rsidR="00CA625B" w:rsidRDefault="00CA625B" w:rsidP="00CA625B">
      <w:r w:rsidRPr="00580F1C">
        <w:rPr>
          <w:noProof/>
        </w:rPr>
        <w:drawing>
          <wp:inline distT="0" distB="0" distL="0" distR="0" wp14:anchorId="342A88D8" wp14:editId="5ED08DA6">
            <wp:extent cx="5486400" cy="1347677"/>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1347677"/>
                    </a:xfrm>
                    <a:prstGeom prst="rect">
                      <a:avLst/>
                    </a:prstGeom>
                    <a:noFill/>
                    <a:ln>
                      <a:noFill/>
                    </a:ln>
                  </pic:spPr>
                </pic:pic>
              </a:graphicData>
            </a:graphic>
          </wp:inline>
        </w:drawing>
      </w:r>
    </w:p>
    <w:p w:rsidR="00CA625B" w:rsidRDefault="00CA625B" w:rsidP="00CA625B">
      <w:pPr>
        <w:numPr>
          <w:ilvl w:val="0"/>
          <w:numId w:val="13"/>
        </w:numPr>
      </w:pPr>
      <w:r>
        <w:t xml:space="preserve">The student fee is $8 per credit hour.  The budget accounts for $2 increase in </w:t>
      </w:r>
      <w:proofErr w:type="gramStart"/>
      <w:r>
        <w:t>Fall</w:t>
      </w:r>
      <w:proofErr w:type="gramEnd"/>
      <w:r>
        <w:t xml:space="preserve"> 2016.</w:t>
      </w:r>
    </w:p>
    <w:p w:rsidR="00CA625B" w:rsidRDefault="00CA625B" w:rsidP="00CA625B">
      <w:pPr>
        <w:numPr>
          <w:ilvl w:val="0"/>
          <w:numId w:val="10"/>
        </w:numPr>
      </w:pPr>
      <w:r>
        <w:t>Other revenue is the medical insurance premiums charged to the College funds and employees.</w:t>
      </w:r>
    </w:p>
    <w:p w:rsidR="00CA625B" w:rsidRDefault="00CA625B" w:rsidP="00CA625B">
      <w:pPr>
        <w:ind w:left="720" w:hanging="720"/>
      </w:pPr>
    </w:p>
    <w:p w:rsidR="00CA625B" w:rsidRDefault="00CA625B" w:rsidP="00CA625B">
      <w:pPr>
        <w:ind w:left="1080"/>
      </w:pPr>
    </w:p>
    <w:p w:rsidR="00CA625B" w:rsidRDefault="00CA625B" w:rsidP="00CA625B">
      <w:r>
        <w:t xml:space="preserve">Expenditures: </w:t>
      </w:r>
    </w:p>
    <w:p w:rsidR="00CA625B" w:rsidRDefault="00CA625B" w:rsidP="00CA625B"/>
    <w:p w:rsidR="00CA625B" w:rsidRDefault="00CA625B" w:rsidP="00CA625B">
      <w:r w:rsidRPr="00580F1C">
        <w:rPr>
          <w:noProof/>
        </w:rPr>
        <w:drawing>
          <wp:inline distT="0" distB="0" distL="0" distR="0" wp14:anchorId="01D70894" wp14:editId="3170BF21">
            <wp:extent cx="5486400" cy="168260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1682602"/>
                    </a:xfrm>
                    <a:prstGeom prst="rect">
                      <a:avLst/>
                    </a:prstGeom>
                    <a:noFill/>
                    <a:ln>
                      <a:noFill/>
                    </a:ln>
                  </pic:spPr>
                </pic:pic>
              </a:graphicData>
            </a:graphic>
          </wp:inline>
        </w:drawing>
      </w:r>
    </w:p>
    <w:p w:rsidR="00CA625B" w:rsidRDefault="00CA625B" w:rsidP="00CA625B"/>
    <w:p w:rsidR="00CA625B" w:rsidRDefault="00CA625B" w:rsidP="00CA625B">
      <w:r>
        <w:t>Transfers:</w:t>
      </w:r>
    </w:p>
    <w:p w:rsidR="00CA625B" w:rsidRDefault="00CA625B" w:rsidP="00CA625B">
      <w:pPr>
        <w:ind w:left="1080"/>
      </w:pPr>
    </w:p>
    <w:p w:rsidR="00CA625B" w:rsidRDefault="00CA625B" w:rsidP="00CA625B">
      <w:r w:rsidRPr="00775F41">
        <w:rPr>
          <w:noProof/>
        </w:rPr>
        <w:drawing>
          <wp:inline distT="0" distB="0" distL="0" distR="0" wp14:anchorId="4D6112A8" wp14:editId="20159452">
            <wp:extent cx="5486400" cy="677826"/>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677826"/>
                    </a:xfrm>
                    <a:prstGeom prst="rect">
                      <a:avLst/>
                    </a:prstGeom>
                    <a:noFill/>
                    <a:ln>
                      <a:noFill/>
                    </a:ln>
                  </pic:spPr>
                </pic:pic>
              </a:graphicData>
            </a:graphic>
          </wp:inline>
        </w:drawing>
      </w:r>
    </w:p>
    <w:p w:rsidR="00CA625B" w:rsidRDefault="00CA625B" w:rsidP="00CA625B">
      <w:pPr>
        <w:numPr>
          <w:ilvl w:val="0"/>
          <w:numId w:val="13"/>
        </w:numPr>
      </w:pPr>
      <w:r>
        <w:t>Bookstore funds will support student services area and facility cost.</w:t>
      </w:r>
    </w:p>
    <w:p w:rsidR="00CA625B" w:rsidRDefault="00CA625B" w:rsidP="00CA625B"/>
    <w:p w:rsidR="00CA625B" w:rsidRDefault="00CA625B" w:rsidP="00CA625B">
      <w:r>
        <w:t>Fund balance:</w:t>
      </w:r>
    </w:p>
    <w:tbl>
      <w:tblPr>
        <w:tblW w:w="4932" w:type="dxa"/>
        <w:tblInd w:w="108" w:type="dxa"/>
        <w:tblLook w:val="04A0" w:firstRow="1" w:lastRow="0" w:firstColumn="1" w:lastColumn="0" w:noHBand="0" w:noVBand="1"/>
      </w:tblPr>
      <w:tblGrid>
        <w:gridCol w:w="3576"/>
        <w:gridCol w:w="1356"/>
      </w:tblGrid>
      <w:tr w:rsidR="00CA625B" w:rsidRPr="00957852" w:rsidTr="006E4345">
        <w:trPr>
          <w:trHeight w:val="315"/>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FY16 Fund balance</w:t>
            </w:r>
          </w:p>
        </w:tc>
        <w:tc>
          <w:tcPr>
            <w:tcW w:w="1356" w:type="dxa"/>
            <w:tcBorders>
              <w:top w:val="nil"/>
              <w:left w:val="nil"/>
              <w:bottom w:val="nil"/>
              <w:right w:val="nil"/>
            </w:tcBorders>
            <w:shd w:val="clear" w:color="auto" w:fill="auto"/>
            <w:noWrap/>
            <w:vAlign w:val="bottom"/>
            <w:hideMark/>
          </w:tcPr>
          <w:p w:rsidR="00CA625B" w:rsidRDefault="00CA625B" w:rsidP="006E4345">
            <w:pPr>
              <w:jc w:val="right"/>
              <w:rPr>
                <w:szCs w:val="24"/>
              </w:rPr>
            </w:pPr>
            <w:r>
              <w:t xml:space="preserve">    1,433,433 </w:t>
            </w:r>
          </w:p>
        </w:tc>
      </w:tr>
      <w:tr w:rsidR="00CA625B" w:rsidRPr="00957852" w:rsidTr="006E4345">
        <w:trPr>
          <w:trHeight w:val="315"/>
        </w:trPr>
        <w:tc>
          <w:tcPr>
            <w:tcW w:w="3576" w:type="dxa"/>
            <w:tcBorders>
              <w:top w:val="nil"/>
              <w:left w:val="nil"/>
              <w:bottom w:val="nil"/>
              <w:right w:val="nil"/>
            </w:tcBorders>
            <w:shd w:val="clear" w:color="auto" w:fill="auto"/>
            <w:noWrap/>
            <w:vAlign w:val="bottom"/>
            <w:hideMark/>
          </w:tcPr>
          <w:p w:rsidR="00CA625B" w:rsidRDefault="00CA625B" w:rsidP="006E4345">
            <w:pPr>
              <w:rPr>
                <w:szCs w:val="24"/>
              </w:rPr>
            </w:pPr>
            <w:r>
              <w:t>Projected FY17 Net income</w:t>
            </w:r>
          </w:p>
        </w:tc>
        <w:tc>
          <w:tcPr>
            <w:tcW w:w="1356" w:type="dxa"/>
            <w:tcBorders>
              <w:top w:val="nil"/>
              <w:left w:val="nil"/>
              <w:bottom w:val="nil"/>
              <w:right w:val="nil"/>
            </w:tcBorders>
            <w:shd w:val="clear" w:color="auto" w:fill="auto"/>
            <w:noWrap/>
            <w:vAlign w:val="bottom"/>
            <w:hideMark/>
          </w:tcPr>
          <w:p w:rsidR="00CA625B" w:rsidRDefault="00CA625B" w:rsidP="006E4345">
            <w:pPr>
              <w:jc w:val="right"/>
              <w:rPr>
                <w:szCs w:val="24"/>
              </w:rPr>
            </w:pPr>
            <w:r>
              <w:t xml:space="preserve">       (18,923)</w:t>
            </w:r>
          </w:p>
        </w:tc>
      </w:tr>
      <w:tr w:rsidR="00CA625B" w:rsidRPr="00957852" w:rsidTr="006E4345">
        <w:trPr>
          <w:trHeight w:val="330"/>
        </w:trPr>
        <w:tc>
          <w:tcPr>
            <w:tcW w:w="3576" w:type="dxa"/>
            <w:tcBorders>
              <w:top w:val="nil"/>
              <w:left w:val="nil"/>
              <w:bottom w:val="nil"/>
              <w:right w:val="nil"/>
            </w:tcBorders>
            <w:shd w:val="clear" w:color="auto" w:fill="auto"/>
            <w:noWrap/>
            <w:vAlign w:val="bottom"/>
            <w:hideMark/>
          </w:tcPr>
          <w:p w:rsidR="00CA625B" w:rsidRDefault="00CA625B" w:rsidP="006E4345"/>
          <w:p w:rsidR="00CA625B" w:rsidRDefault="00CA625B" w:rsidP="006E4345">
            <w:pPr>
              <w:rPr>
                <w:szCs w:val="24"/>
              </w:rPr>
            </w:pPr>
            <w:r>
              <w:t>Projected FY17 Fund balance</w:t>
            </w:r>
          </w:p>
        </w:tc>
        <w:tc>
          <w:tcPr>
            <w:tcW w:w="1356" w:type="dxa"/>
            <w:tcBorders>
              <w:top w:val="single" w:sz="4" w:space="0" w:color="auto"/>
              <w:left w:val="nil"/>
              <w:bottom w:val="double" w:sz="6" w:space="0" w:color="auto"/>
              <w:right w:val="nil"/>
            </w:tcBorders>
            <w:shd w:val="clear" w:color="auto" w:fill="auto"/>
            <w:noWrap/>
            <w:vAlign w:val="bottom"/>
            <w:hideMark/>
          </w:tcPr>
          <w:p w:rsidR="00CA625B" w:rsidRDefault="00CA625B" w:rsidP="006E4345">
            <w:pPr>
              <w:jc w:val="right"/>
              <w:rPr>
                <w:szCs w:val="24"/>
              </w:rPr>
            </w:pPr>
            <w:r>
              <w:t xml:space="preserve">    1,414,510 </w:t>
            </w:r>
          </w:p>
        </w:tc>
      </w:tr>
    </w:tbl>
    <w:p w:rsidR="00CA625B" w:rsidRDefault="00CA625B" w:rsidP="00CA625B">
      <w:pPr>
        <w:ind w:left="1080"/>
      </w:pPr>
      <w:r>
        <w:t xml:space="preserve"> </w:t>
      </w:r>
    </w:p>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p w:rsidR="00CA625B" w:rsidRDefault="00CA625B"/>
    <w:sectPr w:rsidR="00CA6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F70"/>
    <w:multiLevelType w:val="hybridMultilevel"/>
    <w:tmpl w:val="5BDA5722"/>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D741E53"/>
    <w:multiLevelType w:val="hybridMultilevel"/>
    <w:tmpl w:val="DEB430FC"/>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24797B08"/>
    <w:multiLevelType w:val="hybridMultilevel"/>
    <w:tmpl w:val="D48C8DAE"/>
    <w:lvl w:ilvl="0" w:tplc="04090001">
      <w:start w:val="1"/>
      <w:numFmt w:val="bullet"/>
      <w:lvlText w:val=""/>
      <w:lvlJc w:val="left"/>
      <w:pPr>
        <w:tabs>
          <w:tab w:val="num" w:pos="1440"/>
        </w:tabs>
        <w:ind w:left="1440" w:hanging="360"/>
      </w:pPr>
      <w:rPr>
        <w:rFonts w:ascii="Symbol" w:hAnsi="Symbol" w:hint="default"/>
      </w:rPr>
    </w:lvl>
    <w:lvl w:ilvl="1" w:tplc="BF00E868">
      <w:numFmt w:val="bullet"/>
      <w:lvlText w:val=""/>
      <w:lvlJc w:val="left"/>
      <w:pPr>
        <w:tabs>
          <w:tab w:val="num" w:pos="2580"/>
        </w:tabs>
        <w:ind w:left="2580" w:hanging="780"/>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8A312CE"/>
    <w:multiLevelType w:val="hybridMultilevel"/>
    <w:tmpl w:val="E4FA1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674316"/>
    <w:multiLevelType w:val="hybridMultilevel"/>
    <w:tmpl w:val="EB92DE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FEA3652"/>
    <w:multiLevelType w:val="hybridMultilevel"/>
    <w:tmpl w:val="C290B664"/>
    <w:lvl w:ilvl="0" w:tplc="BF00E868">
      <w:numFmt w:val="bullet"/>
      <w:lvlText w:val=""/>
      <w:lvlJc w:val="left"/>
      <w:pPr>
        <w:tabs>
          <w:tab w:val="num" w:pos="3300"/>
        </w:tabs>
        <w:ind w:left="3300" w:hanging="780"/>
      </w:pPr>
      <w:rPr>
        <w:rFonts w:ascii="Symbol" w:eastAsia="Times New Roman" w:hAnsi="Symbol" w:cs="Times New Roman"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48633DBB"/>
    <w:multiLevelType w:val="hybridMultilevel"/>
    <w:tmpl w:val="A7829F36"/>
    <w:lvl w:ilvl="0" w:tplc="BF00E868">
      <w:numFmt w:val="bullet"/>
      <w:lvlText w:val=""/>
      <w:lvlJc w:val="left"/>
      <w:pPr>
        <w:tabs>
          <w:tab w:val="num" w:pos="6180"/>
        </w:tabs>
        <w:ind w:left="6180" w:hanging="780"/>
      </w:pPr>
      <w:rPr>
        <w:rFonts w:ascii="Symbol" w:eastAsia="Times New Roman" w:hAnsi="Symbol" w:cs="Times New Roman" w:hint="default"/>
      </w:rPr>
    </w:lvl>
    <w:lvl w:ilvl="1" w:tplc="7C6E1E8C">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4CC43DCC"/>
    <w:multiLevelType w:val="hybridMultilevel"/>
    <w:tmpl w:val="0B9CB9B8"/>
    <w:lvl w:ilvl="0" w:tplc="7C6E1E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0A4871"/>
    <w:multiLevelType w:val="hybridMultilevel"/>
    <w:tmpl w:val="F89C2A7A"/>
    <w:lvl w:ilvl="0" w:tplc="BF00E868">
      <w:numFmt w:val="bullet"/>
      <w:lvlText w:val=""/>
      <w:lvlJc w:val="left"/>
      <w:pPr>
        <w:tabs>
          <w:tab w:val="num" w:pos="2220"/>
        </w:tabs>
        <w:ind w:left="2220" w:hanging="78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40F0F12"/>
    <w:multiLevelType w:val="hybridMultilevel"/>
    <w:tmpl w:val="E44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36CCF"/>
    <w:multiLevelType w:val="hybridMultilevel"/>
    <w:tmpl w:val="2E7804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BD0529E"/>
    <w:multiLevelType w:val="hybridMultilevel"/>
    <w:tmpl w:val="91F25E18"/>
    <w:lvl w:ilvl="0" w:tplc="7C6E1E8C">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78620CA4"/>
    <w:multiLevelType w:val="hybridMultilevel"/>
    <w:tmpl w:val="0C06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6C59BA"/>
    <w:multiLevelType w:val="hybridMultilevel"/>
    <w:tmpl w:val="FFEA4C86"/>
    <w:lvl w:ilvl="0" w:tplc="BF00E868">
      <w:numFmt w:val="bullet"/>
      <w:lvlText w:val=""/>
      <w:lvlJc w:val="left"/>
      <w:pPr>
        <w:tabs>
          <w:tab w:val="num" w:pos="1860"/>
        </w:tabs>
        <w:ind w:left="1860" w:hanging="780"/>
      </w:pPr>
      <w:rPr>
        <w:rFonts w:ascii="Symbol" w:eastAsia="Times New Roman" w:hAnsi="Symbol"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C3D7DD7"/>
    <w:multiLevelType w:val="hybridMultilevel"/>
    <w:tmpl w:val="BEEC0EE6"/>
    <w:lvl w:ilvl="0" w:tplc="BF00E868">
      <w:numFmt w:val="bullet"/>
      <w:lvlText w:val=""/>
      <w:lvlJc w:val="left"/>
      <w:pPr>
        <w:tabs>
          <w:tab w:val="num" w:pos="1500"/>
        </w:tabs>
        <w:ind w:left="1500" w:hanging="780"/>
      </w:pPr>
      <w:rPr>
        <w:rFonts w:ascii="Symbol" w:eastAsia="Times New Roman" w:hAnsi="Symbol" w:cs="Times New Roman" w:hint="default"/>
      </w:rPr>
    </w:lvl>
    <w:lvl w:ilvl="1" w:tplc="7C6E1E8C">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5"/>
  </w:num>
  <w:num w:numId="4">
    <w:abstractNumId w:val="0"/>
  </w:num>
  <w:num w:numId="5">
    <w:abstractNumId w:val="1"/>
  </w:num>
  <w:num w:numId="6">
    <w:abstractNumId w:val="13"/>
  </w:num>
  <w:num w:numId="7">
    <w:abstractNumId w:val="7"/>
  </w:num>
  <w:num w:numId="8">
    <w:abstractNumId w:val="8"/>
  </w:num>
  <w:num w:numId="9">
    <w:abstractNumId w:val="4"/>
  </w:num>
  <w:num w:numId="10">
    <w:abstractNumId w:val="2"/>
  </w:num>
  <w:num w:numId="11">
    <w:abstractNumId w:val="10"/>
  </w:num>
  <w:num w:numId="12">
    <w:abstractNumId w:val="11"/>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71"/>
    <w:rsid w:val="00254E05"/>
    <w:rsid w:val="004B0CBB"/>
    <w:rsid w:val="008D5E6E"/>
    <w:rsid w:val="00A75591"/>
    <w:rsid w:val="00CA625B"/>
    <w:rsid w:val="00EB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2433527-C14F-414D-9C5D-42524E3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1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2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2016-06-15T15:57:00Z</dcterms:created>
  <dcterms:modified xsi:type="dcterms:W3CDTF">2016-06-15T18:53:00Z</dcterms:modified>
</cp:coreProperties>
</file>