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A" w:rsidRPr="00783B9E" w:rsidRDefault="0024699A" w:rsidP="0024699A">
      <w:pPr>
        <w:jc w:val="center"/>
        <w:rPr>
          <w:b/>
        </w:rPr>
      </w:pPr>
      <w:r w:rsidRPr="00783B9E">
        <w:rPr>
          <w:b/>
        </w:rPr>
        <w:t>Sauk Valley Community College</w:t>
      </w:r>
    </w:p>
    <w:p w:rsidR="0024699A" w:rsidRPr="00783B9E" w:rsidRDefault="0024699A" w:rsidP="0024699A">
      <w:pPr>
        <w:jc w:val="center"/>
        <w:rPr>
          <w:b/>
        </w:rPr>
      </w:pPr>
      <w:r w:rsidRPr="00783B9E">
        <w:rPr>
          <w:b/>
        </w:rPr>
        <w:t>September 24, 2018</w:t>
      </w:r>
    </w:p>
    <w:p w:rsidR="0024699A" w:rsidRPr="00783B9E" w:rsidRDefault="0024699A" w:rsidP="0024699A">
      <w:pPr>
        <w:rPr>
          <w:b/>
        </w:rPr>
      </w:pPr>
    </w:p>
    <w:p w:rsidR="0024699A" w:rsidRPr="00783B9E" w:rsidRDefault="0024699A" w:rsidP="0024699A">
      <w:pPr>
        <w:rPr>
          <w:b/>
        </w:rPr>
      </w:pPr>
    </w:p>
    <w:p w:rsidR="0024699A" w:rsidRPr="00F67FF6" w:rsidRDefault="0024699A" w:rsidP="00FB37F9">
      <w:pPr>
        <w:jc w:val="right"/>
        <w:rPr>
          <w:b/>
          <w:u w:val="single"/>
        </w:rPr>
      </w:pPr>
      <w:r w:rsidRPr="00F67FF6">
        <w:rPr>
          <w:b/>
          <w:u w:val="single"/>
        </w:rPr>
        <w:t>Action Item 4.2</w:t>
      </w:r>
    </w:p>
    <w:p w:rsidR="0024699A" w:rsidRDefault="0024699A" w:rsidP="0024699A">
      <w:pPr>
        <w:rPr>
          <w:b/>
        </w:rPr>
      </w:pPr>
    </w:p>
    <w:p w:rsidR="009D2883" w:rsidRPr="008871B6" w:rsidRDefault="00FB37F9" w:rsidP="00FB37F9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="009D2883" w:rsidRPr="008871B6">
        <w:rPr>
          <w:b/>
        </w:rPr>
        <w:t>Administrator Appointment – Student Support Services Project Director</w:t>
      </w:r>
    </w:p>
    <w:p w:rsidR="00B9505F" w:rsidRPr="008871B6" w:rsidRDefault="00B9505F" w:rsidP="00FB37F9">
      <w:pPr>
        <w:ind w:left="2160" w:hanging="2160"/>
        <w:rPr>
          <w:b/>
          <w:bCs/>
        </w:rPr>
      </w:pPr>
    </w:p>
    <w:p w:rsidR="009D2883" w:rsidRDefault="00B9505F" w:rsidP="00FB37F9">
      <w:pPr>
        <w:ind w:left="2160" w:hanging="2160"/>
        <w:rPr>
          <w:b/>
        </w:rPr>
      </w:pPr>
      <w:r w:rsidRPr="008871B6">
        <w:rPr>
          <w:b/>
          <w:bCs/>
        </w:rPr>
        <w:t xml:space="preserve">Strategic Direction: </w:t>
      </w:r>
      <w:r w:rsidR="00FB37F9">
        <w:rPr>
          <w:b/>
          <w:bCs/>
        </w:rPr>
        <w:tab/>
      </w:r>
      <w:r w:rsidRPr="008871B6">
        <w:rPr>
          <w:b/>
        </w:rPr>
        <w:t xml:space="preserve">Increase Academic Achievement – Objective 2.1 – </w:t>
      </w:r>
      <w:r w:rsidR="00FB37F9">
        <w:rPr>
          <w:b/>
        </w:rPr>
        <w:t xml:space="preserve">Identify and </w:t>
      </w:r>
      <w:r w:rsidR="009D2883" w:rsidRPr="008871B6">
        <w:rPr>
          <w:b/>
        </w:rPr>
        <w:t>remediate barriers to</w:t>
      </w:r>
      <w:r w:rsidR="009D2883" w:rsidRPr="009D2883">
        <w:rPr>
          <w:b/>
        </w:rPr>
        <w:t xml:space="preserve"> student success.</w:t>
      </w:r>
    </w:p>
    <w:p w:rsidR="009D2883" w:rsidRDefault="009D2883" w:rsidP="00FB37F9">
      <w:pPr>
        <w:ind w:left="2160" w:hanging="2160"/>
        <w:rPr>
          <w:b/>
        </w:rPr>
      </w:pPr>
    </w:p>
    <w:p w:rsidR="009D2883" w:rsidRDefault="00FB37F9" w:rsidP="00FB37F9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="009D2883" w:rsidRPr="00975117">
        <w:rPr>
          <w:b/>
        </w:rPr>
        <w:t xml:space="preserve">Dr. </w:t>
      </w:r>
      <w:r w:rsidR="00B9505F">
        <w:rPr>
          <w:b/>
        </w:rPr>
        <w:t xml:space="preserve">David Hellmich and </w:t>
      </w:r>
      <w:r w:rsidR="009D2883">
        <w:rPr>
          <w:b/>
        </w:rPr>
        <w:t>Dr. Ste</w:t>
      </w:r>
      <w:r w:rsidR="00B9505F">
        <w:rPr>
          <w:b/>
        </w:rPr>
        <w:t>ve Nunez</w:t>
      </w:r>
    </w:p>
    <w:p w:rsidR="009D2883" w:rsidRPr="00544F90" w:rsidRDefault="009D2883" w:rsidP="009D2883">
      <w:pPr>
        <w:rPr>
          <w:b/>
          <w:sz w:val="16"/>
          <w:szCs w:val="16"/>
        </w:rPr>
      </w:pPr>
    </w:p>
    <w:p w:rsidR="009D2883" w:rsidRPr="00544F90" w:rsidRDefault="009D2883" w:rsidP="009D2883">
      <w:pPr>
        <w:rPr>
          <w:b/>
          <w:sz w:val="16"/>
          <w:szCs w:val="16"/>
        </w:rPr>
      </w:pPr>
    </w:p>
    <w:p w:rsidR="009D2883" w:rsidRDefault="009D2883" w:rsidP="009D2883">
      <w:pPr>
        <w:rPr>
          <w:b/>
        </w:rPr>
      </w:pPr>
      <w:r>
        <w:rPr>
          <w:b/>
        </w:rPr>
        <w:t>Presentation:</w:t>
      </w:r>
      <w:r w:rsidR="00B9505F">
        <w:rPr>
          <w:b/>
        </w:rPr>
        <w:t xml:space="preserve">          </w:t>
      </w:r>
    </w:p>
    <w:p w:rsidR="009D2883" w:rsidRPr="00693A79" w:rsidRDefault="00FB37F9" w:rsidP="009D2883">
      <w:r>
        <w:tab/>
        <w:t>The College</w:t>
      </w:r>
      <w:r w:rsidR="00B9505F">
        <w:t xml:space="preserve"> </w:t>
      </w:r>
      <w:r w:rsidR="009D2883">
        <w:t>has been in the process of filling the Student Support Services Project Director position</w:t>
      </w:r>
      <w:r w:rsidR="00B9505F">
        <w:t xml:space="preserve">, which </w:t>
      </w:r>
      <w:r w:rsidR="009D2883">
        <w:t xml:space="preserve">was advertised on-line on Sauk Valley Community College’s website, in Sauk Valley Media (the </w:t>
      </w:r>
      <w:r w:rsidR="009D2883" w:rsidRPr="00D42DDC">
        <w:rPr>
          <w:i/>
        </w:rPr>
        <w:t>Dixon Telegraph</w:t>
      </w:r>
      <w:r w:rsidR="009D2883">
        <w:t xml:space="preserve"> and the </w:t>
      </w:r>
      <w:r w:rsidR="009D2883" w:rsidRPr="00D42DDC">
        <w:rPr>
          <w:i/>
        </w:rPr>
        <w:t>Daily Gazette</w:t>
      </w:r>
      <w:r w:rsidR="009D2883">
        <w:t xml:space="preserve">), on-line at </w:t>
      </w:r>
      <w:r w:rsidR="009D2883" w:rsidRPr="005C5ADB">
        <w:rPr>
          <w:i/>
        </w:rPr>
        <w:t>Indeed.com</w:t>
      </w:r>
      <w:r w:rsidR="009D2883">
        <w:t xml:space="preserve">, and on-line at </w:t>
      </w:r>
      <w:r w:rsidR="009D2883">
        <w:rPr>
          <w:i/>
        </w:rPr>
        <w:t>HigherEdJobs.com</w:t>
      </w:r>
      <w:r w:rsidR="009D2883">
        <w:t xml:space="preserve">. </w:t>
      </w:r>
      <w:r w:rsidR="00B9505F">
        <w:t xml:space="preserve"> </w:t>
      </w:r>
      <w:r w:rsidR="009D2883">
        <w:t>Twenty-five applications were received</w:t>
      </w:r>
      <w:r w:rsidR="00B9505F">
        <w:t>,</w:t>
      </w:r>
      <w:r w:rsidR="009D2883">
        <w:t xml:space="preserve"> and four candidates were interviewed. </w:t>
      </w:r>
      <w:r w:rsidR="00B9505F">
        <w:t xml:space="preserve"> </w:t>
      </w:r>
      <w:r w:rsidR="009D2883">
        <w:t xml:space="preserve">A committee was composed of Katherine </w:t>
      </w:r>
      <w:proofErr w:type="spellStart"/>
      <w:r w:rsidR="009D2883">
        <w:t>Whittenberg</w:t>
      </w:r>
      <w:proofErr w:type="spellEnd"/>
      <w:r w:rsidR="009D2883">
        <w:t xml:space="preserve">, </w:t>
      </w:r>
      <w:r w:rsidR="00B9505F">
        <w:t xml:space="preserve">Joe Bright, Ron Hobson, </w:t>
      </w:r>
      <w:r w:rsidR="009D2883">
        <w:t>Dr. Lori Cortez</w:t>
      </w:r>
      <w:r w:rsidR="00B9505F">
        <w:t xml:space="preserve">, and </w:t>
      </w:r>
      <w:r w:rsidR="009D2883">
        <w:t>Janet Matheney</w:t>
      </w:r>
      <w:r w:rsidR="00B9505F">
        <w:t xml:space="preserve">.  Janet, the </w:t>
      </w:r>
      <w:r w:rsidR="009D2883">
        <w:t>Dean of Student Services</w:t>
      </w:r>
      <w:r w:rsidR="00B9505F">
        <w:t>,</w:t>
      </w:r>
      <w:r w:rsidR="009D2883">
        <w:t xml:space="preserve"> served as chair.</w:t>
      </w:r>
      <w:r w:rsidR="00B9505F">
        <w:t xml:space="preserve"> </w:t>
      </w:r>
      <w:r w:rsidR="009D2883">
        <w:t xml:space="preserve"> Dr</w:t>
      </w:r>
      <w:r w:rsidR="00CF7B0C">
        <w:t>s</w:t>
      </w:r>
      <w:r w:rsidR="009D2883">
        <w:t>. Steve Nunez</w:t>
      </w:r>
      <w:r w:rsidR="00B9505F">
        <w:t xml:space="preserve"> </w:t>
      </w:r>
      <w:r w:rsidR="009D2883">
        <w:t>and</w:t>
      </w:r>
      <w:r w:rsidR="00CF7B0C">
        <w:t xml:space="preserve"> </w:t>
      </w:r>
      <w:r w:rsidR="00B9505F">
        <w:t xml:space="preserve">David Hellmich </w:t>
      </w:r>
      <w:r w:rsidR="009D2883">
        <w:t>met with the candidates.</w:t>
      </w:r>
    </w:p>
    <w:p w:rsidR="00B9505F" w:rsidRDefault="009D2883" w:rsidP="002C5CFB">
      <w:pPr>
        <w:ind w:firstLine="720"/>
      </w:pPr>
      <w:r w:rsidRPr="00E8450C">
        <w:rPr>
          <w:i/>
        </w:rPr>
        <w:t xml:space="preserve">Academic background: </w:t>
      </w:r>
      <w:r w:rsidR="00B9505F">
        <w:t xml:space="preserve">Sasha </w:t>
      </w:r>
      <w:r>
        <w:t>Logan is a graduate of Western Illinois University</w:t>
      </w:r>
      <w:r w:rsidR="00B9505F">
        <w:t xml:space="preserve"> with a Master’s of Science in Instructional Design and Technology</w:t>
      </w:r>
      <w:r w:rsidR="002C5CFB">
        <w:t xml:space="preserve"> and </w:t>
      </w:r>
      <w:r w:rsidR="00B9505F">
        <w:t>a Bachelor’s of Science in Education.  She earned her Associates of Arts from Kishwaukee College.</w:t>
      </w:r>
    </w:p>
    <w:p w:rsidR="009D2883" w:rsidRDefault="009D2883" w:rsidP="009D2883">
      <w:pPr>
        <w:ind w:firstLine="720"/>
      </w:pPr>
      <w:r>
        <w:rPr>
          <w:i/>
        </w:rPr>
        <w:t>Professional background:</w:t>
      </w:r>
      <w:r>
        <w:t xml:space="preserve"> </w:t>
      </w:r>
      <w:r w:rsidR="00B9505F">
        <w:t xml:space="preserve">Sasha is Sauk’s </w:t>
      </w:r>
      <w:r>
        <w:t xml:space="preserve">Academic Advisor for S.H.A.R.P. in the Academic Advising/Counseling Office and was the Testing Center Coordinator for seven years </w:t>
      </w:r>
      <w:r w:rsidR="00B9505F">
        <w:t>at SVCC</w:t>
      </w:r>
      <w:r>
        <w:t>.</w:t>
      </w:r>
    </w:p>
    <w:p w:rsidR="009D2883" w:rsidRPr="00E8450C" w:rsidRDefault="009D2883" w:rsidP="009D2883">
      <w:pPr>
        <w:ind w:firstLine="720"/>
      </w:pPr>
    </w:p>
    <w:p w:rsidR="009D2883" w:rsidRPr="00B9505F" w:rsidRDefault="009D2883" w:rsidP="009D2883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9D2883" w:rsidRDefault="009D2883" w:rsidP="009D2883">
      <w:pPr>
        <w:ind w:firstLine="720"/>
      </w:pPr>
      <w:r>
        <w:t>The administration</w:t>
      </w:r>
      <w:r w:rsidRPr="00E8450C">
        <w:t xml:space="preserve"> recommend</w:t>
      </w:r>
      <w:r>
        <w:t>s</w:t>
      </w:r>
      <w:r w:rsidR="00B9505F">
        <w:t xml:space="preserve"> </w:t>
      </w:r>
      <w:r>
        <w:t>the Boar</w:t>
      </w:r>
      <w:r w:rsidR="00B9505F">
        <w:t xml:space="preserve">d </w:t>
      </w:r>
      <w:r>
        <w:t>approve the app</w:t>
      </w:r>
      <w:r w:rsidR="00B9505F">
        <w:t xml:space="preserve">ointment of </w:t>
      </w:r>
      <w:r>
        <w:t>Sasha Logan as the Student Support Services Project Director beginning October 1, 2018</w:t>
      </w:r>
      <w:r w:rsidR="00B9505F">
        <w:t>,</w:t>
      </w:r>
      <w:r>
        <w:t xml:space="preserve"> at an annual salary of $55,000 pending grant approval.</w:t>
      </w:r>
    </w:p>
    <w:p w:rsidR="00B9505F" w:rsidRDefault="00B9505F">
      <w:pPr>
        <w:spacing w:after="160" w:line="259" w:lineRule="auto"/>
      </w:pPr>
      <w:r>
        <w:br w:type="page"/>
      </w: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2"/>
        <w:gridCol w:w="1653"/>
        <w:gridCol w:w="3035"/>
      </w:tblGrid>
      <w:tr w:rsidR="00B9505F" w:rsidTr="00FB37F9">
        <w:trPr>
          <w:trHeight w:val="1141"/>
          <w:jc w:val="center"/>
        </w:trPr>
        <w:tc>
          <w:tcPr>
            <w:tcW w:w="5012" w:type="dxa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pStyle w:val="Heading1"/>
            </w:pPr>
            <w:r>
              <w:lastRenderedPageBreak/>
              <w:t>Sasha Logan</w:t>
            </w:r>
          </w:p>
          <w:p w:rsidR="00B9505F" w:rsidRDefault="00B9505F" w:rsidP="00E74F8B">
            <w:pPr>
              <w:pStyle w:val="tagline"/>
            </w:pPr>
          </w:p>
        </w:tc>
        <w:tc>
          <w:tcPr>
            <w:tcW w:w="1653" w:type="dxa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pStyle w:val="Standard"/>
              <w:spacing w:after="0"/>
            </w:pPr>
          </w:p>
        </w:tc>
        <w:tc>
          <w:tcPr>
            <w:tcW w:w="3035" w:type="dxa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857329" w:rsidRDefault="00B9505F" w:rsidP="00E74F8B">
            <w:pPr>
              <w:pStyle w:val="ContactInfo"/>
              <w:rPr>
                <w:sz w:val="22"/>
              </w:rPr>
            </w:pPr>
            <w:r w:rsidRPr="00857329">
              <w:rPr>
                <w:sz w:val="22"/>
              </w:rPr>
              <w:t>sblogan@outlook.com</w:t>
            </w:r>
          </w:p>
          <w:p w:rsidR="00B9505F" w:rsidRPr="00857329" w:rsidRDefault="00B9505F" w:rsidP="00E74F8B">
            <w:pPr>
              <w:pStyle w:val="ContactInfo"/>
              <w:rPr>
                <w:sz w:val="22"/>
              </w:rPr>
            </w:pPr>
            <w:r w:rsidRPr="00857329">
              <w:rPr>
                <w:sz w:val="22"/>
              </w:rPr>
              <w:t>Cell: 815-677-1292</w:t>
            </w:r>
          </w:p>
          <w:p w:rsidR="00B9505F" w:rsidRPr="00857329" w:rsidRDefault="00B9505F" w:rsidP="00E74F8B">
            <w:pPr>
              <w:pStyle w:val="ContactInfo"/>
              <w:rPr>
                <w:sz w:val="22"/>
              </w:rPr>
            </w:pPr>
            <w:r w:rsidRPr="00857329">
              <w:rPr>
                <w:sz w:val="22"/>
              </w:rPr>
              <w:t>1203 E. 18</w:t>
            </w:r>
            <w:r w:rsidRPr="00857329">
              <w:rPr>
                <w:sz w:val="22"/>
                <w:vertAlign w:val="superscript"/>
              </w:rPr>
              <w:t>th</w:t>
            </w:r>
            <w:r w:rsidRPr="00857329">
              <w:rPr>
                <w:sz w:val="22"/>
              </w:rPr>
              <w:t xml:space="preserve"> St.</w:t>
            </w:r>
          </w:p>
          <w:p w:rsidR="00B9505F" w:rsidRDefault="00B9505F" w:rsidP="00E74F8B">
            <w:pPr>
              <w:pStyle w:val="ContactInfo"/>
            </w:pPr>
            <w:r w:rsidRPr="00857329">
              <w:rPr>
                <w:sz w:val="22"/>
              </w:rPr>
              <w:t>Sterling, IL 61081</w:t>
            </w:r>
          </w:p>
        </w:tc>
      </w:tr>
    </w:tbl>
    <w:p w:rsidR="00B9505F" w:rsidRDefault="00B9505F" w:rsidP="00B9505F">
      <w:pPr>
        <w:pStyle w:val="NoSpacing"/>
      </w:pPr>
    </w:p>
    <w:p w:rsidR="00B9505F" w:rsidRDefault="00B9505F" w:rsidP="00B9505F">
      <w:pPr>
        <w:pStyle w:val="NoSpacing"/>
        <w:rPr>
          <w:sz w:val="22"/>
        </w:rPr>
      </w:pPr>
      <w:r>
        <w:rPr>
          <w:sz w:val="22"/>
        </w:rPr>
        <w:t>September 10, 2018</w:t>
      </w:r>
    </w:p>
    <w:p w:rsidR="00B9505F" w:rsidRPr="00857329" w:rsidRDefault="00B9505F" w:rsidP="00B9505F">
      <w:pPr>
        <w:pStyle w:val="NoSpacing"/>
        <w:rPr>
          <w:sz w:val="22"/>
        </w:rPr>
      </w:pP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Sauk Valley Community College</w:t>
      </w: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173 IL Rt. 2</w:t>
      </w: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Dixon, IL 61021</w:t>
      </w:r>
    </w:p>
    <w:p w:rsidR="00B9505F" w:rsidRPr="00857329" w:rsidRDefault="00B9505F" w:rsidP="00B9505F">
      <w:pPr>
        <w:pStyle w:val="NoSpacing"/>
        <w:rPr>
          <w:sz w:val="22"/>
        </w:rPr>
      </w:pP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Dear Hiring Committee</w:t>
      </w:r>
      <w:r w:rsidRPr="00857329">
        <w:rPr>
          <w:sz w:val="22"/>
        </w:rPr>
        <w:t>,</w:t>
      </w:r>
    </w:p>
    <w:p w:rsidR="00B9505F" w:rsidRPr="00857329" w:rsidRDefault="00B9505F" w:rsidP="00B9505F">
      <w:pPr>
        <w:pStyle w:val="NoSpacing"/>
        <w:rPr>
          <w:sz w:val="22"/>
        </w:rPr>
      </w:pPr>
    </w:p>
    <w:p w:rsidR="00B9505F" w:rsidRDefault="00B9505F" w:rsidP="00B9505F">
      <w:pPr>
        <w:pStyle w:val="NoSpacing"/>
        <w:rPr>
          <w:sz w:val="22"/>
        </w:rPr>
      </w:pPr>
      <w:r w:rsidRPr="00857329">
        <w:rPr>
          <w:sz w:val="22"/>
        </w:rPr>
        <w:t>As a lifelong advocate for education</w:t>
      </w:r>
      <w:r>
        <w:rPr>
          <w:sz w:val="22"/>
        </w:rPr>
        <w:t>,</w:t>
      </w:r>
      <w:r w:rsidRPr="00857329">
        <w:rPr>
          <w:sz w:val="22"/>
        </w:rPr>
        <w:t xml:space="preserve"> I was thrilled to see </w:t>
      </w:r>
      <w:proofErr w:type="gramStart"/>
      <w:r w:rsidRPr="00857329">
        <w:rPr>
          <w:sz w:val="22"/>
        </w:rPr>
        <w:t>your</w:t>
      </w:r>
      <w:proofErr w:type="gramEnd"/>
      <w:r w:rsidRPr="00857329">
        <w:rPr>
          <w:sz w:val="22"/>
        </w:rPr>
        <w:t xml:space="preserve"> posting for </w:t>
      </w:r>
      <w:r>
        <w:rPr>
          <w:sz w:val="22"/>
        </w:rPr>
        <w:t>Student Support Services Project Director</w:t>
      </w:r>
      <w:r w:rsidRPr="00857329">
        <w:rPr>
          <w:sz w:val="22"/>
        </w:rPr>
        <w:t xml:space="preserve">.  I have recently completed my Master’s degree in Instructional Design and Technology.  This educational achievement </w:t>
      </w:r>
      <w:r>
        <w:rPr>
          <w:sz w:val="22"/>
        </w:rPr>
        <w:t xml:space="preserve">and </w:t>
      </w:r>
      <w:r w:rsidRPr="00857329">
        <w:rPr>
          <w:sz w:val="22"/>
        </w:rPr>
        <w:t>my eight years of experience in higher education ha</w:t>
      </w:r>
      <w:r>
        <w:rPr>
          <w:sz w:val="22"/>
        </w:rPr>
        <w:t>ve</w:t>
      </w:r>
      <w:r w:rsidRPr="00857329">
        <w:rPr>
          <w:sz w:val="22"/>
        </w:rPr>
        <w:t xml:space="preserve"> given me the knowledge and opportunity to collaborate with many faculty, staff, and community members to assist students in meeting their educational goals. </w:t>
      </w:r>
      <w:r>
        <w:rPr>
          <w:sz w:val="22"/>
        </w:rPr>
        <w:t>Throughout my Master’s program, I worked on projects to meet the educational needs of clients and utilize the information provided by subject matter experts.  I believe the skills obtained from this experience will serve this position well when working with a wide variety of students across the campus community.</w:t>
      </w:r>
    </w:p>
    <w:p w:rsidR="00B9505F" w:rsidRDefault="00B9505F" w:rsidP="00B9505F">
      <w:pPr>
        <w:pStyle w:val="NoSpacing"/>
        <w:rPr>
          <w:sz w:val="22"/>
        </w:rPr>
      </w:pP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As a first generation student and community college graduate, I have an understanding and a commitment to serving students who can benefit from services, like TRIO.  In my current position, I recruit and serve students that are similar to the Student Support Services Grant target population.  Prior to this, I spent eight years as a department coordinator servicing a college population that is primarily first generation and low income.  Throughout both of these experiences, I was able to provide direct services to students with disabilities.</w:t>
      </w:r>
      <w:r w:rsidRPr="00B93215">
        <w:rPr>
          <w:sz w:val="22"/>
        </w:rPr>
        <w:t xml:space="preserve"> </w:t>
      </w:r>
      <w:r>
        <w:rPr>
          <w:sz w:val="22"/>
        </w:rPr>
        <w:t xml:space="preserve">  Assisting students with creating and achieving college goals, followed by graduation, and ultimately transferring to their next institution is a very necessary and rewarding experience.  </w:t>
      </w:r>
    </w:p>
    <w:p w:rsidR="00B9505F" w:rsidRPr="00857329" w:rsidRDefault="00B9505F" w:rsidP="00B9505F">
      <w:pPr>
        <w:pStyle w:val="NoSpacing"/>
        <w:rPr>
          <w:sz w:val="22"/>
        </w:rPr>
      </w:pPr>
    </w:p>
    <w:p w:rsidR="00B9505F" w:rsidRPr="00857329" w:rsidRDefault="00B9505F" w:rsidP="00B9505F">
      <w:pPr>
        <w:pStyle w:val="NoSpacing"/>
        <w:rPr>
          <w:sz w:val="22"/>
        </w:rPr>
      </w:pPr>
      <w:r>
        <w:rPr>
          <w:sz w:val="22"/>
        </w:rPr>
        <w:t>In my previous</w:t>
      </w:r>
      <w:r w:rsidRPr="00857329">
        <w:rPr>
          <w:sz w:val="22"/>
        </w:rPr>
        <w:t xml:space="preserve"> position at Sauk Valley Community College, I work</w:t>
      </w:r>
      <w:r>
        <w:rPr>
          <w:sz w:val="22"/>
        </w:rPr>
        <w:t>ed</w:t>
      </w:r>
      <w:r w:rsidRPr="00857329">
        <w:rPr>
          <w:sz w:val="22"/>
        </w:rPr>
        <w:t xml:space="preserve"> closely with our administration as well as local business and education professionals in our community.  Last year, I worked with our administration and Regional Office of Education to implement a Postsecondary and Workforce Readiness grant aimed at math remediation in six of our local high schools.  Throughout my time at Sauk Valley Community College, I have been able to serve on a wide variety of committees an</w:t>
      </w:r>
      <w:r>
        <w:rPr>
          <w:sz w:val="22"/>
        </w:rPr>
        <w:t>d panels to assist our communities</w:t>
      </w:r>
      <w:r w:rsidRPr="00857329">
        <w:rPr>
          <w:sz w:val="22"/>
        </w:rPr>
        <w:t xml:space="preserve"> in with their educational needs.  These committees and panels have included Title III grant, Illinois State Police Merit Board, ICCB GED transition, scholarships, and staff development.</w:t>
      </w:r>
    </w:p>
    <w:p w:rsidR="00B9505F" w:rsidRPr="00857329" w:rsidRDefault="00B9505F" w:rsidP="00B9505F">
      <w:pPr>
        <w:pStyle w:val="NoSpacing"/>
        <w:rPr>
          <w:sz w:val="22"/>
        </w:rPr>
      </w:pPr>
    </w:p>
    <w:p w:rsidR="00B9505F" w:rsidRDefault="00B9505F" w:rsidP="00B9505F">
      <w:pPr>
        <w:pStyle w:val="NoSpacing"/>
        <w:rPr>
          <w:sz w:val="22"/>
        </w:rPr>
      </w:pPr>
      <w:r>
        <w:rPr>
          <w:sz w:val="22"/>
        </w:rPr>
        <w:t>I enjoy working</w:t>
      </w:r>
      <w:r w:rsidRPr="00857329">
        <w:rPr>
          <w:sz w:val="22"/>
        </w:rPr>
        <w:t xml:space="preserve"> with </w:t>
      </w:r>
      <w:r>
        <w:rPr>
          <w:sz w:val="22"/>
        </w:rPr>
        <w:t>students</w:t>
      </w:r>
      <w:r w:rsidRPr="00857329">
        <w:rPr>
          <w:sz w:val="22"/>
        </w:rPr>
        <w:t xml:space="preserve"> to improve </w:t>
      </w:r>
      <w:r>
        <w:rPr>
          <w:sz w:val="22"/>
        </w:rPr>
        <w:t xml:space="preserve">their </w:t>
      </w:r>
      <w:r w:rsidRPr="00857329">
        <w:rPr>
          <w:sz w:val="22"/>
        </w:rPr>
        <w:t xml:space="preserve">educational opportunities </w:t>
      </w:r>
      <w:r>
        <w:rPr>
          <w:sz w:val="22"/>
        </w:rPr>
        <w:t xml:space="preserve">and </w:t>
      </w:r>
      <w:r w:rsidRPr="00857329">
        <w:rPr>
          <w:sz w:val="22"/>
        </w:rPr>
        <w:t xml:space="preserve">to meet the needs of the institution and </w:t>
      </w:r>
      <w:r>
        <w:rPr>
          <w:sz w:val="22"/>
        </w:rPr>
        <w:t xml:space="preserve">local </w:t>
      </w:r>
      <w:r w:rsidRPr="00857329">
        <w:rPr>
          <w:sz w:val="22"/>
        </w:rPr>
        <w:t xml:space="preserve">community.  I believe this positon would allow me to use my knowledge and experience </w:t>
      </w:r>
      <w:r>
        <w:rPr>
          <w:sz w:val="22"/>
        </w:rPr>
        <w:t xml:space="preserve">to continue assisting the students in the Sauk Valley in obtaining their educational goals.  </w:t>
      </w:r>
      <w:r w:rsidRPr="00857329">
        <w:rPr>
          <w:sz w:val="22"/>
        </w:rPr>
        <w:t>I welcome the opportunity to discuss my application with you and look forward to hearing from you.</w:t>
      </w:r>
    </w:p>
    <w:p w:rsidR="00DB1AFB" w:rsidRDefault="00DB1AFB" w:rsidP="00B9505F">
      <w:pPr>
        <w:pStyle w:val="NoSpacing"/>
        <w:rPr>
          <w:sz w:val="22"/>
        </w:rPr>
      </w:pPr>
    </w:p>
    <w:p w:rsidR="00DB1AFB" w:rsidRPr="00857329" w:rsidRDefault="00DB1AFB" w:rsidP="00B9505F">
      <w:pPr>
        <w:pStyle w:val="NoSpacing"/>
        <w:rPr>
          <w:sz w:val="22"/>
        </w:rPr>
      </w:pPr>
    </w:p>
    <w:p w:rsidR="00B9505F" w:rsidRPr="00857329" w:rsidRDefault="00B9505F" w:rsidP="00B9505F">
      <w:pPr>
        <w:pStyle w:val="NoSpacing"/>
        <w:rPr>
          <w:sz w:val="22"/>
        </w:rPr>
      </w:pPr>
      <w:r w:rsidRPr="00857329">
        <w:rPr>
          <w:sz w:val="22"/>
        </w:rPr>
        <w:t>Sincerely,</w:t>
      </w:r>
    </w:p>
    <w:p w:rsidR="00DB1AFB" w:rsidRPr="00857329" w:rsidRDefault="00DB1AFB" w:rsidP="00B9505F">
      <w:pPr>
        <w:pStyle w:val="NoSpacing"/>
        <w:rPr>
          <w:sz w:val="22"/>
        </w:rPr>
      </w:pPr>
    </w:p>
    <w:p w:rsidR="00B9505F" w:rsidRDefault="00B9505F" w:rsidP="00B9505F">
      <w:pPr>
        <w:pStyle w:val="NoSpacing"/>
        <w:rPr>
          <w:sz w:val="22"/>
        </w:rPr>
      </w:pPr>
      <w:r w:rsidRPr="00857329">
        <w:rPr>
          <w:sz w:val="22"/>
        </w:rPr>
        <w:t>Sasha Logan</w:t>
      </w:r>
    </w:p>
    <w:tbl>
      <w:tblPr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86"/>
        <w:gridCol w:w="280"/>
        <w:gridCol w:w="45"/>
        <w:gridCol w:w="929"/>
        <w:gridCol w:w="1031"/>
        <w:gridCol w:w="1549"/>
        <w:gridCol w:w="1045"/>
        <w:gridCol w:w="616"/>
        <w:gridCol w:w="2651"/>
      </w:tblGrid>
      <w:tr w:rsidR="00B9505F" w:rsidTr="002C5CFB">
        <w:trPr>
          <w:trHeight w:val="1141"/>
          <w:jc w:val="center"/>
        </w:trPr>
        <w:tc>
          <w:tcPr>
            <w:tcW w:w="5498" w:type="dxa"/>
            <w:gridSpan w:val="7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047FE9" w:rsidRDefault="00B9505F" w:rsidP="00E74F8B">
            <w:pPr>
              <w:pStyle w:val="Heading1"/>
            </w:pPr>
            <w:r>
              <w:lastRenderedPageBreak/>
              <w:t>Sasha Logan</w:t>
            </w:r>
          </w:p>
        </w:tc>
        <w:tc>
          <w:tcPr>
            <w:tcW w:w="1661" w:type="dxa"/>
            <w:gridSpan w:val="2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pStyle w:val="ContactInfo"/>
            </w:pPr>
            <w:r>
              <w:t>sblogan@outlook.com</w:t>
            </w:r>
          </w:p>
          <w:p w:rsidR="00B9505F" w:rsidRDefault="00B9505F" w:rsidP="00E74F8B">
            <w:pPr>
              <w:pStyle w:val="ContactInfo"/>
            </w:pPr>
            <w:r>
              <w:t>Cell: 815-677-1292</w:t>
            </w:r>
          </w:p>
          <w:p w:rsidR="00B9505F" w:rsidRDefault="00B9505F" w:rsidP="00E74F8B">
            <w:pPr>
              <w:pStyle w:val="ContactInfo"/>
            </w:pPr>
            <w:r>
              <w:t>1203 E. 18</w:t>
            </w:r>
            <w:r w:rsidRPr="00887F76">
              <w:rPr>
                <w:vertAlign w:val="superscript"/>
              </w:rPr>
              <w:t>th</w:t>
            </w:r>
            <w:r>
              <w:t xml:space="preserve"> St.</w:t>
            </w:r>
          </w:p>
          <w:p w:rsidR="00B9505F" w:rsidRDefault="00B9505F" w:rsidP="00E74F8B">
            <w:pPr>
              <w:pStyle w:val="ContactInfo"/>
            </w:pPr>
            <w:r>
              <w:t>Sterling, IL 61081</w:t>
            </w:r>
          </w:p>
        </w:tc>
      </w:tr>
      <w:tr w:rsidR="00B9505F" w:rsidTr="002C5CFB">
        <w:trPr>
          <w:jc w:val="center"/>
        </w:trPr>
        <w:tc>
          <w:tcPr>
            <w:tcW w:w="5498" w:type="dxa"/>
            <w:gridSpan w:val="7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</w:tr>
      <w:tr w:rsidR="00B9505F" w:rsidTr="002C5CFB">
        <w:trPr>
          <w:jc w:val="center"/>
        </w:trPr>
        <w:tc>
          <w:tcPr>
            <w:tcW w:w="13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Pr="002C5CFB" w:rsidRDefault="00B9505F" w:rsidP="00E74F8B">
            <w:pPr>
              <w:pStyle w:val="Heading2"/>
              <w:rPr>
                <w:sz w:val="24"/>
                <w:szCs w:val="24"/>
              </w:rPr>
            </w:pPr>
            <w:r w:rsidRPr="002C5CFB">
              <w:rPr>
                <w:sz w:val="24"/>
                <w:szCs w:val="24"/>
              </w:rPr>
              <w:t>Summary</w:t>
            </w:r>
          </w:p>
        </w:tc>
        <w:tc>
          <w:tcPr>
            <w:tcW w:w="28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32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7821" w:type="dxa"/>
            <w:gridSpan w:val="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Higher Education professional with +8 years of experien</w:t>
            </w:r>
            <w:r w:rsidR="002C5CFB">
              <w:rPr>
                <w:rFonts w:ascii="Cambria" w:hAnsi="Cambria"/>
                <w:sz w:val="22"/>
                <w:szCs w:val="22"/>
              </w:rPr>
              <w:t xml:space="preserve">ce running a fast-paced office. </w:t>
            </w:r>
            <w:r w:rsidRPr="002C5CFB">
              <w:rPr>
                <w:rFonts w:ascii="Cambria" w:hAnsi="Cambria"/>
                <w:sz w:val="22"/>
                <w:szCs w:val="22"/>
              </w:rPr>
              <w:t>Organized, detail oriented, and adaptable in a supervisory office setting.  Highly experienced with collaboration across departments and fields.  Recently obtained Master’s Degree in Instructional Design and Technology</w:t>
            </w:r>
          </w:p>
        </w:tc>
      </w:tr>
      <w:tr w:rsidR="00B9505F" w:rsidTr="002C5CFB">
        <w:trPr>
          <w:trHeight w:val="288"/>
          <w:jc w:val="center"/>
        </w:trPr>
        <w:tc>
          <w:tcPr>
            <w:tcW w:w="2918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3625" w:type="dxa"/>
            <w:gridSpan w:val="3"/>
            <w:tcBorders>
              <w:bottom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612C14" w:rsidRDefault="00B9505F" w:rsidP="00E74F8B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</w:tr>
      <w:tr w:rsidR="00B9505F" w:rsidTr="002C5CFB">
        <w:trPr>
          <w:jc w:val="center"/>
        </w:trPr>
        <w:tc>
          <w:tcPr>
            <w:tcW w:w="13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Pr="002C5CFB" w:rsidRDefault="00B9505F" w:rsidP="00E74F8B">
            <w:pPr>
              <w:pStyle w:val="Heading2"/>
              <w:rPr>
                <w:sz w:val="24"/>
                <w:szCs w:val="24"/>
              </w:rPr>
            </w:pPr>
            <w:r w:rsidRPr="002C5CFB">
              <w:rPr>
                <w:sz w:val="24"/>
                <w:szCs w:val="24"/>
              </w:rPr>
              <w:t>Work History</w:t>
            </w:r>
          </w:p>
        </w:tc>
        <w:tc>
          <w:tcPr>
            <w:tcW w:w="28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0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Sauk’s Holistic Advising &amp; Retention Program Academic Advisor</w:t>
            </w: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(S.H.A.R.P.)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2018</w:t>
            </w: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2C5CFB" w:rsidRDefault="002C5CFB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2C5CFB" w:rsidRDefault="002C5CFB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2C5CFB" w:rsidRDefault="002C5CFB" w:rsidP="00E74F8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Testing Center Coordinator</w:t>
            </w: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Sauk Valley Community College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2010 – 2018</w:t>
            </w:r>
          </w:p>
        </w:tc>
        <w:tc>
          <w:tcPr>
            <w:tcW w:w="5861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Monitor academic and graduation progress, provide needs assessments, and implement proactive intervention strategies.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Plan, lead and implement college-wide retention strategies such as welcome/success week, coaching/mentoring program, workshops.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Document and maintain records of student contacts.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Provide academic advising to S.H.A.R. P. students.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Consult with S.H.A.R.P. students regarding academic problems or concerns and assist students in obtaining support to meet these specific needs.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Assist students in selecting educational and career goals.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Assist with outreach services to market and recruit S.H.A.R.P. participants.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Select students for this program using metrics.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Develop and document S.H.A.R.P. processes and procedures for annual reporting requirements.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 xml:space="preserve">Administer the </w:t>
            </w:r>
            <w:proofErr w:type="spellStart"/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Ruffalo</w:t>
            </w:r>
            <w:proofErr w:type="spellEnd"/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 xml:space="preserve"> Noel Levitz College Student Inventory (CSI).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color w:val="000000"/>
                <w:sz w:val="22"/>
                <w:szCs w:val="22"/>
              </w:rPr>
            </w:pPr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 xml:space="preserve">Sort and review </w:t>
            </w:r>
            <w:proofErr w:type="spellStart"/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>Ruffalo</w:t>
            </w:r>
            <w:proofErr w:type="spellEnd"/>
            <w:r w:rsidRPr="002C5CFB">
              <w:rPr>
                <w:rFonts w:ascii="Cambria" w:hAnsi="Cambria"/>
                <w:color w:val="000000"/>
                <w:sz w:val="22"/>
                <w:szCs w:val="22"/>
              </w:rPr>
              <w:t xml:space="preserve"> Noel Levitz CSI data.</w:t>
            </w:r>
          </w:p>
          <w:p w:rsidR="00B9505F" w:rsidRPr="002C5CFB" w:rsidRDefault="00B9505F" w:rsidP="002C5CFB">
            <w:pPr>
              <w:ind w:left="342"/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Develop, oversee, and evaluate operations, yearly goals, and annual budgets.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Hire, train, supervise, and schedule testing proctors and work-studies.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Coordinate and administer state and local testing.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Maintain certifications and required documentation for testing programs.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Collaborate with faculty, staff, and other institutions and businesses to provide testing services.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Collaborate with faculty, staff, and administration to meet the testing needs of the institution and local community.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Market testing services to local high schools, businesses, and community members.</w:t>
            </w:r>
          </w:p>
        </w:tc>
      </w:tr>
    </w:tbl>
    <w:p w:rsidR="002C5CFB" w:rsidRDefault="002C5CFB">
      <w:r>
        <w:br w:type="page"/>
      </w:r>
    </w:p>
    <w:tbl>
      <w:tblPr>
        <w:tblW w:w="9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50"/>
        <w:gridCol w:w="280"/>
        <w:gridCol w:w="45"/>
        <w:gridCol w:w="903"/>
        <w:gridCol w:w="1057"/>
        <w:gridCol w:w="2568"/>
        <w:gridCol w:w="3267"/>
        <w:gridCol w:w="26"/>
      </w:tblGrid>
      <w:tr w:rsidR="00B9505F" w:rsidTr="002C5CFB">
        <w:trPr>
          <w:jc w:val="center"/>
        </w:trPr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Default="00B9505F" w:rsidP="00E74F8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0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Substitute Teacher</w:t>
            </w: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Lee/Ogle Regional Office of Education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2009 – 2012</w:t>
            </w:r>
          </w:p>
        </w:tc>
        <w:tc>
          <w:tcPr>
            <w:tcW w:w="586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2C5CFB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Provide instruction in all subject areas</w:t>
            </w:r>
          </w:p>
          <w:p w:rsidR="00B9505F" w:rsidRPr="002C5CFB" w:rsidRDefault="00B9505F" w:rsidP="002C5CFB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Provide a safe and productive learning environment</w:t>
            </w:r>
          </w:p>
        </w:tc>
      </w:tr>
      <w:tr w:rsidR="00B9505F" w:rsidTr="002C5CFB">
        <w:trPr>
          <w:gridAfter w:val="1"/>
          <w:wAfter w:w="26" w:type="dxa"/>
          <w:jc w:val="center"/>
        </w:trPr>
        <w:tc>
          <w:tcPr>
            <w:tcW w:w="2918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612C14" w:rsidRDefault="00B9505F" w:rsidP="00E74F8B">
            <w:pPr>
              <w:rPr>
                <w:sz w:val="16"/>
                <w:szCs w:val="16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32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</w:tr>
      <w:tr w:rsidR="00B9505F" w:rsidTr="002C5CFB">
        <w:trPr>
          <w:trHeight w:val="1186"/>
          <w:jc w:val="center"/>
        </w:trPr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Pr="002C5CFB" w:rsidRDefault="00B9505F" w:rsidP="00E74F8B">
            <w:pPr>
              <w:pStyle w:val="Heading2"/>
              <w:rPr>
                <w:sz w:val="24"/>
                <w:szCs w:val="24"/>
              </w:rPr>
            </w:pPr>
            <w:r w:rsidRPr="002C5CFB">
              <w:rPr>
                <w:sz w:val="24"/>
                <w:szCs w:val="24"/>
              </w:rPr>
              <w:t>Committee Involvement</w:t>
            </w:r>
          </w:p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32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21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2017-Current</w:t>
            </w:r>
            <w:r w:rsidRPr="002C5CFB">
              <w:rPr>
                <w:rFonts w:ascii="Cambria" w:hAnsi="Cambria"/>
                <w:sz w:val="22"/>
                <w:szCs w:val="22"/>
              </w:rPr>
              <w:tab/>
              <w:t>Student Services Leadership Committee</w:t>
            </w:r>
          </w:p>
          <w:p w:rsid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2017-Current</w:t>
            </w:r>
            <w:r w:rsidRPr="002C5CFB">
              <w:rPr>
                <w:rFonts w:ascii="Cambria" w:hAnsi="Cambria"/>
                <w:sz w:val="22"/>
                <w:szCs w:val="22"/>
              </w:rPr>
              <w:tab/>
              <w:t>Single Parent Scholarship Committee</w:t>
            </w:r>
          </w:p>
          <w:p w:rsidR="002C5CFB" w:rsidRDefault="002C5CFB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2017                      </w:t>
            </w:r>
            <w:r w:rsidR="00B9505F" w:rsidRPr="002C5CFB">
              <w:rPr>
                <w:rFonts w:ascii="Cambria" w:hAnsi="Cambria"/>
                <w:sz w:val="22"/>
                <w:szCs w:val="22"/>
              </w:rPr>
              <w:t>Title III Grant Panel</w:t>
            </w:r>
          </w:p>
          <w:p w:rsid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2014-Current</w:t>
            </w:r>
            <w:r w:rsidRPr="002C5CFB">
              <w:rPr>
                <w:rFonts w:ascii="Cambria" w:hAnsi="Cambria"/>
                <w:sz w:val="22"/>
                <w:szCs w:val="22"/>
              </w:rPr>
              <w:tab/>
              <w:t>Staff Development Committee</w:t>
            </w:r>
          </w:p>
          <w:p w:rsid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2013-2016</w:t>
            </w:r>
            <w:r w:rsidRPr="002C5CFB">
              <w:rPr>
                <w:rFonts w:ascii="Cambria" w:hAnsi="Cambria"/>
                <w:sz w:val="22"/>
                <w:szCs w:val="22"/>
              </w:rPr>
              <w:tab/>
              <w:t>Illinois State Police Merit Board Testing Center Panel</w:t>
            </w:r>
          </w:p>
          <w:p w:rsid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2013-2014</w:t>
            </w:r>
            <w:r w:rsidRPr="002C5CFB">
              <w:rPr>
                <w:rFonts w:ascii="Cambria" w:hAnsi="Cambria"/>
                <w:sz w:val="22"/>
                <w:szCs w:val="22"/>
              </w:rPr>
              <w:tab/>
              <w:t>Illinois Constitution Exam CBT Transition Panel</w:t>
            </w:r>
          </w:p>
          <w:p w:rsidR="00B9505F" w:rsidRPr="002C5CFB" w:rsidRDefault="00B9505F" w:rsidP="002C5CFB">
            <w:pPr>
              <w:ind w:left="1554" w:hanging="1554"/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2012-2013           Illinois GED CBT Transition Committee</w:t>
            </w:r>
          </w:p>
        </w:tc>
      </w:tr>
      <w:tr w:rsidR="00B9505F" w:rsidTr="002C5CFB">
        <w:trPr>
          <w:gridAfter w:val="1"/>
          <w:wAfter w:w="26" w:type="dxa"/>
          <w:jc w:val="center"/>
        </w:trPr>
        <w:tc>
          <w:tcPr>
            <w:tcW w:w="2918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/>
        </w:tc>
        <w:tc>
          <w:tcPr>
            <w:tcW w:w="3625" w:type="dxa"/>
            <w:gridSpan w:val="2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612C14" w:rsidRDefault="00B9505F" w:rsidP="00E74F8B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</w:tr>
      <w:tr w:rsidR="00B9505F" w:rsidTr="002C5CFB">
        <w:trPr>
          <w:jc w:val="center"/>
        </w:trPr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Pr="002C5CFB" w:rsidRDefault="00B9505F" w:rsidP="00E74F8B">
            <w:pPr>
              <w:pStyle w:val="Heading2"/>
              <w:rPr>
                <w:sz w:val="24"/>
                <w:szCs w:val="24"/>
              </w:rPr>
            </w:pPr>
            <w:r w:rsidRPr="002C5CFB">
              <w:rPr>
                <w:sz w:val="24"/>
                <w:szCs w:val="24"/>
              </w:rPr>
              <w:t>Skills</w:t>
            </w:r>
          </w:p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32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7821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Microsoft Office, software troubleshooting, distance learning, Canvas LMS, closed captioning, audio description, video production, teamwork, adaptability, communication, conflict resolution, and time management</w:t>
            </w:r>
          </w:p>
        </w:tc>
      </w:tr>
      <w:tr w:rsidR="00B9505F" w:rsidRPr="002C5CFB" w:rsidTr="002C5CFB">
        <w:trPr>
          <w:gridAfter w:val="1"/>
          <w:wAfter w:w="26" w:type="dxa"/>
          <w:jc w:val="center"/>
        </w:trPr>
        <w:tc>
          <w:tcPr>
            <w:tcW w:w="2918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80808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9505F" w:rsidTr="002C5CFB">
        <w:trPr>
          <w:jc w:val="center"/>
        </w:trPr>
        <w:tc>
          <w:tcPr>
            <w:tcW w:w="144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Pr="002C5CFB" w:rsidRDefault="00B9505F" w:rsidP="00E74F8B">
            <w:pPr>
              <w:pStyle w:val="Heading2"/>
              <w:rPr>
                <w:sz w:val="24"/>
                <w:szCs w:val="24"/>
              </w:rPr>
            </w:pPr>
            <w:r w:rsidRPr="002C5CFB">
              <w:rPr>
                <w:sz w:val="24"/>
                <w:szCs w:val="24"/>
              </w:rPr>
              <w:t>Education</w:t>
            </w:r>
          </w:p>
          <w:p w:rsidR="00B9505F" w:rsidRPr="002C5CFB" w:rsidRDefault="00B9505F" w:rsidP="00E74F8B"/>
          <w:p w:rsidR="00B9505F" w:rsidRPr="002C5CFB" w:rsidRDefault="00B9505F" w:rsidP="00E74F8B"/>
          <w:p w:rsidR="00B9505F" w:rsidRPr="002C5CFB" w:rsidRDefault="00B9505F" w:rsidP="00E74F8B"/>
          <w:p w:rsidR="00B9505F" w:rsidRPr="002C5CFB" w:rsidRDefault="00B9505F" w:rsidP="00E74F8B"/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0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Western Illinois University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2014 – 2017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Western Illinois University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2007 - 2009</w:t>
            </w:r>
          </w:p>
        </w:tc>
        <w:tc>
          <w:tcPr>
            <w:tcW w:w="586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Master of Science, Instructional Design and Technology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Bachelors of Science, Education</w:t>
            </w:r>
          </w:p>
        </w:tc>
      </w:tr>
      <w:tr w:rsidR="00B9505F" w:rsidTr="002C5CFB">
        <w:trPr>
          <w:jc w:val="center"/>
        </w:trPr>
        <w:tc>
          <w:tcPr>
            <w:tcW w:w="144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Default="00B9505F" w:rsidP="00E74F8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0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9505F" w:rsidTr="002C5CFB">
        <w:trPr>
          <w:jc w:val="center"/>
        </w:trPr>
        <w:tc>
          <w:tcPr>
            <w:tcW w:w="144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9505F" w:rsidRDefault="00B9505F" w:rsidP="00E74F8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Default="00B9505F" w:rsidP="00E74F8B">
            <w:pPr>
              <w:rPr>
                <w:szCs w:val="22"/>
              </w:rPr>
            </w:pPr>
          </w:p>
        </w:tc>
        <w:tc>
          <w:tcPr>
            <w:tcW w:w="20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2C5CFB">
              <w:rPr>
                <w:rFonts w:ascii="Cambria" w:hAnsi="Cambria"/>
                <w:b/>
                <w:sz w:val="22"/>
                <w:szCs w:val="22"/>
              </w:rPr>
              <w:t>Kishwaukee College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>2004 – 2006</w:t>
            </w:r>
          </w:p>
        </w:tc>
        <w:tc>
          <w:tcPr>
            <w:tcW w:w="5861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  <w:r w:rsidRPr="002C5CFB">
              <w:rPr>
                <w:rFonts w:ascii="Cambria" w:hAnsi="Cambria"/>
                <w:sz w:val="22"/>
                <w:szCs w:val="22"/>
              </w:rPr>
              <w:t xml:space="preserve">Associates of Arts </w:t>
            </w: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  <w:p w:rsidR="00B9505F" w:rsidRPr="002C5CFB" w:rsidRDefault="00B9505F" w:rsidP="00E74F8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9505F" w:rsidRPr="00857329" w:rsidRDefault="00B9505F" w:rsidP="00B9505F">
      <w:pPr>
        <w:pStyle w:val="NoSpacing"/>
        <w:rPr>
          <w:sz w:val="22"/>
        </w:rPr>
      </w:pPr>
    </w:p>
    <w:p w:rsidR="00B9505F" w:rsidRPr="00E8450C" w:rsidRDefault="00B9505F" w:rsidP="00B9505F"/>
    <w:p w:rsidR="00F67FF6" w:rsidRPr="00D157EC" w:rsidRDefault="00F67FF6" w:rsidP="00C66BD1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C66BD1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84EC1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66BD1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E064-5D28-433D-92A6-1444D9E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2018-09-20T23:30:00Z</dcterms:created>
  <dcterms:modified xsi:type="dcterms:W3CDTF">2018-09-20T23:30:00Z</dcterms:modified>
</cp:coreProperties>
</file>