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99A" w:rsidRPr="00783B9E" w:rsidRDefault="0024699A" w:rsidP="0024699A">
      <w:pPr>
        <w:jc w:val="center"/>
        <w:rPr>
          <w:b/>
        </w:rPr>
      </w:pPr>
      <w:r w:rsidRPr="00783B9E">
        <w:rPr>
          <w:b/>
        </w:rPr>
        <w:t>Sauk Valley Community College</w:t>
      </w:r>
    </w:p>
    <w:p w:rsidR="0024699A" w:rsidRPr="00783B9E" w:rsidRDefault="0024699A" w:rsidP="0024699A">
      <w:pPr>
        <w:jc w:val="center"/>
        <w:rPr>
          <w:b/>
        </w:rPr>
      </w:pPr>
      <w:r w:rsidRPr="00783B9E">
        <w:rPr>
          <w:b/>
        </w:rPr>
        <w:t>September 24, 2018</w:t>
      </w:r>
    </w:p>
    <w:p w:rsidR="00BB77BB" w:rsidRDefault="00BB77BB" w:rsidP="00BB77BB">
      <w:pPr>
        <w:rPr>
          <w:b/>
        </w:rPr>
      </w:pPr>
    </w:p>
    <w:p w:rsidR="00BB77BB" w:rsidRDefault="00BB77BB" w:rsidP="00BB77BB">
      <w:pPr>
        <w:rPr>
          <w:b/>
        </w:rPr>
      </w:pPr>
    </w:p>
    <w:p w:rsidR="00E33C9F" w:rsidRPr="00F67FF6" w:rsidRDefault="00E33C9F" w:rsidP="00BB77BB">
      <w:pPr>
        <w:jc w:val="right"/>
        <w:rPr>
          <w:u w:val="single"/>
        </w:rPr>
      </w:pPr>
      <w:r w:rsidRPr="00F67FF6">
        <w:rPr>
          <w:b/>
          <w:u w:val="single"/>
        </w:rPr>
        <w:t>Action Item 4.</w:t>
      </w:r>
      <w:r w:rsidR="00BB77BB" w:rsidRPr="00F67FF6">
        <w:rPr>
          <w:b/>
          <w:u w:val="single"/>
        </w:rPr>
        <w:t>3</w:t>
      </w:r>
    </w:p>
    <w:p w:rsidR="00E33C9F" w:rsidRPr="00E33C9F" w:rsidRDefault="00E33C9F" w:rsidP="00E33C9F">
      <w:pPr>
        <w:rPr>
          <w:b/>
        </w:rPr>
      </w:pPr>
    </w:p>
    <w:p w:rsidR="00E33C9F" w:rsidRPr="00E33C9F" w:rsidRDefault="00E33C9F" w:rsidP="00FB37F9">
      <w:pPr>
        <w:ind w:left="2160" w:hanging="2160"/>
        <w:rPr>
          <w:b/>
        </w:rPr>
      </w:pPr>
      <w:r w:rsidRPr="00E33C9F">
        <w:rPr>
          <w:b/>
        </w:rPr>
        <w:t>Topic:</w:t>
      </w:r>
      <w:r w:rsidR="00FB37F9" w:rsidRPr="007E25EA">
        <w:rPr>
          <w:b/>
        </w:rPr>
        <w:tab/>
      </w:r>
      <w:r w:rsidRPr="00E33C9F">
        <w:rPr>
          <w:b/>
        </w:rPr>
        <w:t>Solar Project Engineering</w:t>
      </w:r>
      <w:r w:rsidR="00BB77BB" w:rsidRPr="007E25EA">
        <w:rPr>
          <w:b/>
        </w:rPr>
        <w:t xml:space="preserve"> (Tabled April 23, 2018)</w:t>
      </w:r>
    </w:p>
    <w:p w:rsidR="00E33C9F" w:rsidRPr="00E33C9F" w:rsidRDefault="00E33C9F" w:rsidP="00FB37F9">
      <w:pPr>
        <w:ind w:left="2160" w:hanging="2160"/>
        <w:rPr>
          <w:b/>
        </w:rPr>
      </w:pPr>
    </w:p>
    <w:p w:rsidR="00FB37F9" w:rsidRPr="00E33C9F" w:rsidRDefault="00FB37F9" w:rsidP="00FB37F9">
      <w:pPr>
        <w:ind w:left="2160" w:hanging="2160"/>
        <w:rPr>
          <w:b/>
        </w:rPr>
      </w:pPr>
      <w:r w:rsidRPr="007E25EA">
        <w:rPr>
          <w:b/>
        </w:rPr>
        <w:t xml:space="preserve">Strategic Direction: </w:t>
      </w:r>
      <w:r w:rsidR="007E25EA">
        <w:rPr>
          <w:b/>
        </w:rPr>
        <w:tab/>
      </w:r>
      <w:r w:rsidRPr="007E25EA">
        <w:rPr>
          <w:b/>
        </w:rPr>
        <w:t>College Health – Metric 3 – Financial Stability – The College uses its revenue conservatively. The College pursues and utilizes alternative</w:t>
      </w:r>
      <w:r w:rsidRPr="00FB37F9">
        <w:rPr>
          <w:b/>
        </w:rPr>
        <w:t xml:space="preserve"> revenue streams.</w:t>
      </w:r>
    </w:p>
    <w:p w:rsidR="00E33C9F" w:rsidRPr="00E33C9F" w:rsidRDefault="00E33C9F" w:rsidP="00FB37F9">
      <w:pPr>
        <w:ind w:left="2160" w:hanging="2160"/>
        <w:rPr>
          <w:b/>
        </w:rPr>
      </w:pPr>
    </w:p>
    <w:p w:rsidR="00E33C9F" w:rsidRPr="00E33C9F" w:rsidRDefault="00FB37F9" w:rsidP="00FB37F9">
      <w:pPr>
        <w:ind w:left="2160" w:hanging="2160"/>
        <w:rPr>
          <w:b/>
          <w:sz w:val="16"/>
          <w:szCs w:val="16"/>
        </w:rPr>
      </w:pPr>
      <w:r w:rsidRPr="00FB37F9">
        <w:rPr>
          <w:b/>
        </w:rPr>
        <w:t>Presented by:</w:t>
      </w:r>
      <w:r w:rsidRPr="00FB37F9">
        <w:rPr>
          <w:b/>
        </w:rPr>
        <w:tab/>
        <w:t>Dr. David Hellmich</w:t>
      </w:r>
    </w:p>
    <w:p w:rsidR="00E33C9F" w:rsidRPr="00E33C9F" w:rsidRDefault="00E33C9F" w:rsidP="00E33C9F">
      <w:pPr>
        <w:rPr>
          <w:rFonts w:eastAsiaTheme="minorHAnsi"/>
          <w:b/>
          <w:highlight w:val="yellow"/>
        </w:rPr>
      </w:pPr>
    </w:p>
    <w:p w:rsidR="00E33C9F" w:rsidRPr="00E33C9F" w:rsidRDefault="00E33C9F" w:rsidP="00E33C9F">
      <w:pPr>
        <w:rPr>
          <w:rFonts w:eastAsiaTheme="minorHAnsi"/>
          <w:b/>
        </w:rPr>
      </w:pPr>
      <w:r w:rsidRPr="00E33C9F">
        <w:rPr>
          <w:rFonts w:eastAsiaTheme="minorHAnsi"/>
          <w:b/>
        </w:rPr>
        <w:t>Presentation:</w:t>
      </w:r>
    </w:p>
    <w:p w:rsidR="00FB37F9" w:rsidRPr="00FB37F9" w:rsidRDefault="00FB37F9" w:rsidP="00E33C9F">
      <w:pPr>
        <w:ind w:firstLine="720"/>
        <w:rPr>
          <w:rFonts w:eastAsiaTheme="minorHAnsi"/>
        </w:rPr>
      </w:pPr>
      <w:r w:rsidRPr="00FB37F9">
        <w:rPr>
          <w:rFonts w:eastAsiaTheme="minorHAnsi"/>
        </w:rPr>
        <w:t xml:space="preserve">Below is the information presented to the Board on April 23, </w:t>
      </w:r>
      <w:proofErr w:type="gramStart"/>
      <w:r w:rsidRPr="00FB37F9">
        <w:rPr>
          <w:rFonts w:eastAsiaTheme="minorHAnsi"/>
        </w:rPr>
        <w:t>2018:</w:t>
      </w:r>
      <w:proofErr w:type="gramEnd"/>
    </w:p>
    <w:p w:rsidR="00FB37F9" w:rsidRPr="00FB37F9" w:rsidRDefault="00FB37F9" w:rsidP="00E33C9F">
      <w:pPr>
        <w:ind w:firstLine="720"/>
        <w:rPr>
          <w:rFonts w:eastAsiaTheme="minorHAnsi"/>
        </w:rPr>
      </w:pPr>
    </w:p>
    <w:p w:rsidR="00E33C9F" w:rsidRPr="00E33C9F" w:rsidRDefault="00E33C9F" w:rsidP="00E33C9F">
      <w:pPr>
        <w:ind w:firstLine="720"/>
        <w:rPr>
          <w:rFonts w:eastAsiaTheme="minorHAnsi"/>
        </w:rPr>
      </w:pPr>
      <w:r w:rsidRPr="00E33C9F">
        <w:rPr>
          <w:rFonts w:eastAsiaTheme="minorHAnsi"/>
        </w:rPr>
        <w:t>Discussions have continued regarding the option of having solar panels on campus.  Early information below shows a payback of 7.42 years.</w:t>
      </w:r>
    </w:p>
    <w:p w:rsidR="00E33C9F" w:rsidRPr="00E33C9F" w:rsidRDefault="00E33C9F" w:rsidP="00E33C9F">
      <w:pPr>
        <w:rPr>
          <w:rFonts w:eastAsiaTheme="minorHAnsi"/>
        </w:rPr>
      </w:pPr>
    </w:p>
    <w:tbl>
      <w:tblPr>
        <w:tblStyle w:val="TableGrid1"/>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1800"/>
      </w:tblGrid>
      <w:tr w:rsidR="00E33C9F" w:rsidRPr="00E33C9F" w:rsidTr="00E74F8B">
        <w:tc>
          <w:tcPr>
            <w:tcW w:w="6660" w:type="dxa"/>
          </w:tcPr>
          <w:p w:rsidR="00E33C9F" w:rsidRPr="00E33C9F" w:rsidRDefault="00E33C9F" w:rsidP="00E33C9F">
            <w:pPr>
              <w:rPr>
                <w:rFonts w:ascii="Times New Roman" w:eastAsiaTheme="minorHAnsi" w:hAnsi="Times New Roman" w:cs="Times New Roman"/>
                <w:i w:val="0"/>
                <w:sz w:val="24"/>
                <w:szCs w:val="24"/>
              </w:rPr>
            </w:pPr>
            <w:r w:rsidRPr="00E33C9F">
              <w:rPr>
                <w:rFonts w:ascii="Times New Roman" w:eastAsiaTheme="minorHAnsi" w:hAnsi="Times New Roman" w:cs="Times New Roman"/>
                <w:i w:val="0"/>
                <w:sz w:val="24"/>
                <w:szCs w:val="24"/>
              </w:rPr>
              <w:t xml:space="preserve">System Size in </w:t>
            </w:r>
            <w:r w:rsidRPr="00E33C9F">
              <w:rPr>
                <w:rFonts w:ascii="Times New Roman" w:eastAsiaTheme="minorHAnsi" w:hAnsi="Times New Roman" w:cs="Times New Roman"/>
                <w:bCs/>
                <w:i w:val="0"/>
                <w:color w:val="222222"/>
                <w:sz w:val="24"/>
                <w:szCs w:val="24"/>
                <w:shd w:val="clear" w:color="auto" w:fill="FFFFFF"/>
              </w:rPr>
              <w:t>kilowatts</w:t>
            </w:r>
            <w:r w:rsidRPr="00E33C9F">
              <w:rPr>
                <w:rFonts w:ascii="Times New Roman" w:eastAsiaTheme="minorHAnsi" w:hAnsi="Times New Roman" w:cs="Times New Roman"/>
                <w:i w:val="0"/>
                <w:sz w:val="24"/>
                <w:szCs w:val="24"/>
              </w:rPr>
              <w:t xml:space="preserve"> (</w:t>
            </w:r>
            <w:r w:rsidRPr="00E33C9F">
              <w:rPr>
                <w:rFonts w:ascii="Times New Roman" w:eastAsiaTheme="minorHAnsi" w:hAnsi="Times New Roman" w:cs="Times New Roman"/>
                <w:bCs/>
                <w:i w:val="0"/>
                <w:color w:val="222222"/>
                <w:sz w:val="24"/>
                <w:szCs w:val="24"/>
                <w:shd w:val="clear" w:color="auto" w:fill="FFFFFF"/>
              </w:rPr>
              <w:t>kWh)</w:t>
            </w:r>
          </w:p>
        </w:tc>
        <w:tc>
          <w:tcPr>
            <w:tcW w:w="1800" w:type="dxa"/>
          </w:tcPr>
          <w:p w:rsidR="00E33C9F" w:rsidRPr="00E33C9F" w:rsidRDefault="00E33C9F" w:rsidP="00E33C9F">
            <w:pPr>
              <w:jc w:val="center"/>
              <w:rPr>
                <w:rFonts w:ascii="Times New Roman" w:eastAsiaTheme="minorHAnsi" w:hAnsi="Times New Roman" w:cs="Times New Roman"/>
                <w:i w:val="0"/>
                <w:sz w:val="24"/>
                <w:szCs w:val="24"/>
              </w:rPr>
            </w:pPr>
            <w:r w:rsidRPr="00E33C9F">
              <w:rPr>
                <w:rFonts w:ascii="Times New Roman" w:eastAsiaTheme="minorHAnsi" w:hAnsi="Times New Roman" w:cs="Times New Roman"/>
                <w:i w:val="0"/>
                <w:sz w:val="24"/>
                <w:szCs w:val="24"/>
              </w:rPr>
              <w:t>124.44</w:t>
            </w:r>
          </w:p>
        </w:tc>
      </w:tr>
      <w:tr w:rsidR="00E33C9F" w:rsidRPr="00E33C9F" w:rsidTr="00E74F8B">
        <w:tc>
          <w:tcPr>
            <w:tcW w:w="6660" w:type="dxa"/>
          </w:tcPr>
          <w:p w:rsidR="00E33C9F" w:rsidRPr="00E33C9F" w:rsidRDefault="00E33C9F" w:rsidP="00E33C9F">
            <w:pPr>
              <w:rPr>
                <w:rFonts w:ascii="Times New Roman" w:eastAsiaTheme="minorHAnsi" w:hAnsi="Times New Roman" w:cs="Times New Roman"/>
                <w:i w:val="0"/>
                <w:sz w:val="24"/>
                <w:szCs w:val="24"/>
              </w:rPr>
            </w:pPr>
            <w:r w:rsidRPr="00E33C9F">
              <w:rPr>
                <w:rFonts w:ascii="Times New Roman" w:eastAsiaTheme="minorHAnsi" w:hAnsi="Times New Roman" w:cs="Times New Roman"/>
                <w:i w:val="0"/>
                <w:sz w:val="24"/>
                <w:szCs w:val="24"/>
              </w:rPr>
              <w:t>System Cost Calculation</w:t>
            </w:r>
          </w:p>
        </w:tc>
        <w:tc>
          <w:tcPr>
            <w:tcW w:w="1800" w:type="dxa"/>
          </w:tcPr>
          <w:p w:rsidR="00E33C9F" w:rsidRPr="00E33C9F" w:rsidRDefault="00E33C9F" w:rsidP="00E33C9F">
            <w:pPr>
              <w:jc w:val="center"/>
              <w:rPr>
                <w:rFonts w:ascii="Times New Roman" w:eastAsiaTheme="minorHAnsi" w:hAnsi="Times New Roman" w:cs="Times New Roman"/>
                <w:i w:val="0"/>
                <w:sz w:val="24"/>
                <w:szCs w:val="24"/>
              </w:rPr>
            </w:pPr>
            <w:r w:rsidRPr="00E33C9F">
              <w:rPr>
                <w:rFonts w:ascii="Times New Roman" w:eastAsiaTheme="minorHAnsi" w:hAnsi="Times New Roman" w:cs="Times New Roman"/>
                <w:i w:val="0"/>
                <w:sz w:val="24"/>
                <w:szCs w:val="24"/>
              </w:rPr>
              <w:t>(in $’s)</w:t>
            </w:r>
          </w:p>
        </w:tc>
      </w:tr>
      <w:tr w:rsidR="00E33C9F" w:rsidRPr="00E33C9F" w:rsidTr="00E74F8B">
        <w:tc>
          <w:tcPr>
            <w:tcW w:w="6660" w:type="dxa"/>
          </w:tcPr>
          <w:p w:rsidR="00E33C9F" w:rsidRPr="00E33C9F" w:rsidRDefault="00E33C9F" w:rsidP="00E33C9F">
            <w:pPr>
              <w:rPr>
                <w:rFonts w:ascii="Times New Roman" w:eastAsiaTheme="minorHAnsi" w:hAnsi="Times New Roman" w:cs="Times New Roman"/>
                <w:b/>
                <w:i w:val="0"/>
                <w:sz w:val="24"/>
                <w:szCs w:val="24"/>
              </w:rPr>
            </w:pPr>
            <w:r w:rsidRPr="00E33C9F">
              <w:rPr>
                <w:rFonts w:ascii="Times New Roman" w:eastAsiaTheme="minorHAnsi" w:hAnsi="Times New Roman" w:cs="Times New Roman"/>
                <w:b/>
                <w:i w:val="0"/>
                <w:sz w:val="24"/>
                <w:szCs w:val="24"/>
              </w:rPr>
              <w:t>Gross System Cost</w:t>
            </w:r>
          </w:p>
        </w:tc>
        <w:tc>
          <w:tcPr>
            <w:tcW w:w="1800" w:type="dxa"/>
          </w:tcPr>
          <w:p w:rsidR="00E33C9F" w:rsidRPr="00E33C9F" w:rsidRDefault="00E33C9F" w:rsidP="00E33C9F">
            <w:pPr>
              <w:jc w:val="center"/>
              <w:rPr>
                <w:rFonts w:ascii="Times New Roman" w:eastAsiaTheme="minorHAnsi" w:hAnsi="Times New Roman" w:cs="Times New Roman"/>
                <w:b/>
                <w:i w:val="0"/>
                <w:sz w:val="24"/>
                <w:szCs w:val="24"/>
              </w:rPr>
            </w:pPr>
            <w:r w:rsidRPr="00E33C9F">
              <w:rPr>
                <w:rFonts w:ascii="Times New Roman" w:eastAsiaTheme="minorHAnsi" w:hAnsi="Times New Roman" w:cs="Times New Roman"/>
                <w:b/>
                <w:i w:val="0"/>
                <w:sz w:val="24"/>
                <w:szCs w:val="24"/>
              </w:rPr>
              <w:t>$248,880</w:t>
            </w:r>
          </w:p>
        </w:tc>
      </w:tr>
      <w:tr w:rsidR="00E33C9F" w:rsidRPr="00E33C9F" w:rsidTr="00E74F8B">
        <w:tc>
          <w:tcPr>
            <w:tcW w:w="6660" w:type="dxa"/>
          </w:tcPr>
          <w:p w:rsidR="00E33C9F" w:rsidRPr="00E33C9F" w:rsidRDefault="00E33C9F" w:rsidP="00E33C9F">
            <w:pPr>
              <w:rPr>
                <w:rFonts w:ascii="Times New Roman" w:eastAsiaTheme="minorHAnsi" w:hAnsi="Times New Roman" w:cs="Times New Roman"/>
                <w:sz w:val="24"/>
                <w:szCs w:val="24"/>
              </w:rPr>
            </w:pPr>
            <w:proofErr w:type="spellStart"/>
            <w:r w:rsidRPr="00E33C9F">
              <w:rPr>
                <w:rFonts w:ascii="Times New Roman" w:eastAsiaTheme="minorHAnsi" w:hAnsi="Times New Roman" w:cs="Times New Roman"/>
                <w:sz w:val="24"/>
                <w:szCs w:val="24"/>
              </w:rPr>
              <w:t>ComEd</w:t>
            </w:r>
            <w:proofErr w:type="spellEnd"/>
            <w:r w:rsidRPr="00E33C9F">
              <w:rPr>
                <w:rFonts w:ascii="Times New Roman" w:eastAsiaTheme="minorHAnsi" w:hAnsi="Times New Roman" w:cs="Times New Roman"/>
                <w:sz w:val="24"/>
                <w:szCs w:val="24"/>
              </w:rPr>
              <w:t xml:space="preserve"> Rebates</w:t>
            </w:r>
          </w:p>
        </w:tc>
        <w:tc>
          <w:tcPr>
            <w:tcW w:w="1800" w:type="dxa"/>
          </w:tcPr>
          <w:p w:rsidR="00E33C9F" w:rsidRPr="00E33C9F" w:rsidRDefault="00E33C9F" w:rsidP="00E33C9F">
            <w:pPr>
              <w:jc w:val="center"/>
              <w:rPr>
                <w:rFonts w:ascii="Times New Roman" w:eastAsiaTheme="minorHAnsi" w:hAnsi="Times New Roman" w:cs="Times New Roman"/>
                <w:sz w:val="24"/>
                <w:szCs w:val="24"/>
              </w:rPr>
            </w:pPr>
            <w:r w:rsidRPr="00E33C9F">
              <w:rPr>
                <w:rFonts w:ascii="Times New Roman" w:eastAsiaTheme="minorHAnsi" w:hAnsi="Times New Roman" w:cs="Times New Roman"/>
                <w:sz w:val="24"/>
                <w:szCs w:val="24"/>
              </w:rPr>
              <w:t>($31,110)</w:t>
            </w:r>
          </w:p>
        </w:tc>
      </w:tr>
      <w:tr w:rsidR="00E33C9F" w:rsidRPr="00E33C9F" w:rsidTr="00E74F8B">
        <w:tc>
          <w:tcPr>
            <w:tcW w:w="6660" w:type="dxa"/>
          </w:tcPr>
          <w:p w:rsidR="00E33C9F" w:rsidRPr="00E33C9F" w:rsidRDefault="00E33C9F" w:rsidP="00E33C9F">
            <w:pPr>
              <w:rPr>
                <w:rFonts w:ascii="Times New Roman" w:eastAsiaTheme="minorHAnsi" w:hAnsi="Times New Roman" w:cs="Times New Roman"/>
                <w:sz w:val="24"/>
                <w:szCs w:val="24"/>
              </w:rPr>
            </w:pPr>
            <w:r w:rsidRPr="00E33C9F">
              <w:rPr>
                <w:rFonts w:ascii="Times New Roman" w:eastAsiaTheme="minorHAnsi" w:hAnsi="Times New Roman" w:cs="Times New Roman"/>
                <w:sz w:val="24"/>
                <w:szCs w:val="24"/>
              </w:rPr>
              <w:t>Less SREC</w:t>
            </w:r>
          </w:p>
        </w:tc>
        <w:tc>
          <w:tcPr>
            <w:tcW w:w="1800" w:type="dxa"/>
          </w:tcPr>
          <w:p w:rsidR="00E33C9F" w:rsidRPr="00E33C9F" w:rsidRDefault="00E33C9F" w:rsidP="00E33C9F">
            <w:pPr>
              <w:jc w:val="center"/>
              <w:rPr>
                <w:rFonts w:ascii="Times New Roman" w:eastAsiaTheme="minorHAnsi" w:hAnsi="Times New Roman" w:cs="Times New Roman"/>
                <w:sz w:val="24"/>
                <w:szCs w:val="24"/>
              </w:rPr>
            </w:pPr>
            <w:r w:rsidRPr="00E33C9F">
              <w:rPr>
                <w:rFonts w:ascii="Times New Roman" w:eastAsiaTheme="minorHAnsi" w:hAnsi="Times New Roman" w:cs="Times New Roman"/>
                <w:sz w:val="24"/>
                <w:szCs w:val="24"/>
              </w:rPr>
              <w:t>($136,538)</w:t>
            </w:r>
          </w:p>
        </w:tc>
      </w:tr>
      <w:tr w:rsidR="00E33C9F" w:rsidRPr="00E33C9F" w:rsidTr="00E74F8B">
        <w:tc>
          <w:tcPr>
            <w:tcW w:w="6660" w:type="dxa"/>
          </w:tcPr>
          <w:p w:rsidR="00E33C9F" w:rsidRPr="00E33C9F" w:rsidRDefault="00E33C9F" w:rsidP="00E33C9F">
            <w:pPr>
              <w:rPr>
                <w:rFonts w:ascii="Times New Roman" w:eastAsiaTheme="minorHAnsi" w:hAnsi="Times New Roman" w:cs="Times New Roman"/>
                <w:b/>
                <w:i w:val="0"/>
                <w:sz w:val="24"/>
                <w:szCs w:val="24"/>
              </w:rPr>
            </w:pPr>
            <w:r w:rsidRPr="00E33C9F">
              <w:rPr>
                <w:rFonts w:ascii="Times New Roman" w:eastAsiaTheme="minorHAnsi" w:hAnsi="Times New Roman" w:cs="Times New Roman"/>
                <w:b/>
                <w:i w:val="0"/>
                <w:sz w:val="24"/>
                <w:szCs w:val="24"/>
              </w:rPr>
              <w:t>Net System Cost</w:t>
            </w:r>
          </w:p>
        </w:tc>
        <w:tc>
          <w:tcPr>
            <w:tcW w:w="1800" w:type="dxa"/>
          </w:tcPr>
          <w:p w:rsidR="00E33C9F" w:rsidRPr="00E33C9F" w:rsidRDefault="00E33C9F" w:rsidP="00E33C9F">
            <w:pPr>
              <w:jc w:val="center"/>
              <w:rPr>
                <w:rFonts w:ascii="Times New Roman" w:eastAsiaTheme="minorHAnsi" w:hAnsi="Times New Roman" w:cs="Times New Roman"/>
                <w:b/>
                <w:i w:val="0"/>
                <w:sz w:val="24"/>
                <w:szCs w:val="24"/>
              </w:rPr>
            </w:pPr>
            <w:r w:rsidRPr="00E33C9F">
              <w:rPr>
                <w:rFonts w:ascii="Times New Roman" w:eastAsiaTheme="minorHAnsi" w:hAnsi="Times New Roman" w:cs="Times New Roman"/>
                <w:b/>
                <w:i w:val="0"/>
                <w:sz w:val="24"/>
                <w:szCs w:val="24"/>
              </w:rPr>
              <w:t>$81,232</w:t>
            </w:r>
          </w:p>
        </w:tc>
      </w:tr>
      <w:tr w:rsidR="00E33C9F" w:rsidRPr="00E33C9F" w:rsidTr="00E74F8B">
        <w:tc>
          <w:tcPr>
            <w:tcW w:w="6660" w:type="dxa"/>
          </w:tcPr>
          <w:p w:rsidR="00E33C9F" w:rsidRPr="00E33C9F" w:rsidRDefault="00E33C9F" w:rsidP="00E33C9F">
            <w:pPr>
              <w:rPr>
                <w:rFonts w:ascii="Times New Roman" w:eastAsiaTheme="minorHAnsi" w:hAnsi="Times New Roman" w:cs="Times New Roman"/>
                <w:b/>
                <w:i w:val="0"/>
                <w:sz w:val="24"/>
                <w:szCs w:val="24"/>
              </w:rPr>
            </w:pPr>
            <w:r w:rsidRPr="00E33C9F">
              <w:rPr>
                <w:rFonts w:ascii="Times New Roman" w:eastAsiaTheme="minorHAnsi" w:hAnsi="Times New Roman" w:cs="Times New Roman"/>
                <w:b/>
                <w:i w:val="0"/>
                <w:sz w:val="24"/>
                <w:szCs w:val="24"/>
              </w:rPr>
              <w:t>Payback in Years</w:t>
            </w:r>
          </w:p>
        </w:tc>
        <w:tc>
          <w:tcPr>
            <w:tcW w:w="1800" w:type="dxa"/>
          </w:tcPr>
          <w:p w:rsidR="00E33C9F" w:rsidRPr="00E33C9F" w:rsidRDefault="00E33C9F" w:rsidP="00E33C9F">
            <w:pPr>
              <w:jc w:val="center"/>
              <w:rPr>
                <w:rFonts w:ascii="Times New Roman" w:eastAsiaTheme="minorHAnsi" w:hAnsi="Times New Roman" w:cs="Times New Roman"/>
                <w:b/>
                <w:i w:val="0"/>
                <w:sz w:val="24"/>
                <w:szCs w:val="24"/>
              </w:rPr>
            </w:pPr>
            <w:r w:rsidRPr="00E33C9F">
              <w:rPr>
                <w:rFonts w:ascii="Times New Roman" w:eastAsiaTheme="minorHAnsi" w:hAnsi="Times New Roman" w:cs="Times New Roman"/>
                <w:b/>
                <w:i w:val="0"/>
                <w:sz w:val="24"/>
                <w:szCs w:val="24"/>
              </w:rPr>
              <w:t>7.42</w:t>
            </w:r>
          </w:p>
        </w:tc>
      </w:tr>
      <w:tr w:rsidR="00E33C9F" w:rsidRPr="00E33C9F" w:rsidTr="00E74F8B">
        <w:trPr>
          <w:trHeight w:val="58"/>
        </w:trPr>
        <w:tc>
          <w:tcPr>
            <w:tcW w:w="6660" w:type="dxa"/>
          </w:tcPr>
          <w:p w:rsidR="00E33C9F" w:rsidRPr="00E33C9F" w:rsidRDefault="00E33C9F" w:rsidP="00E33C9F">
            <w:pPr>
              <w:rPr>
                <w:rFonts w:ascii="Times New Roman" w:eastAsiaTheme="minorHAnsi" w:hAnsi="Times New Roman" w:cs="Times New Roman"/>
                <w:i w:val="0"/>
                <w:smallCaps/>
                <w:sz w:val="24"/>
                <w:szCs w:val="24"/>
                <w:u w:val="single"/>
              </w:rPr>
            </w:pPr>
            <w:r w:rsidRPr="00E33C9F">
              <w:rPr>
                <w:rFonts w:ascii="Times New Roman" w:eastAsiaTheme="minorHAnsi" w:hAnsi="Times New Roman" w:cs="Times New Roman"/>
                <w:i w:val="0"/>
                <w:smallCaps/>
                <w:sz w:val="24"/>
                <w:szCs w:val="24"/>
                <w:u w:val="single"/>
              </w:rPr>
              <w:t>First-Year Estimated Electric Bill Savings</w:t>
            </w:r>
          </w:p>
        </w:tc>
        <w:tc>
          <w:tcPr>
            <w:tcW w:w="1800" w:type="dxa"/>
          </w:tcPr>
          <w:p w:rsidR="00E33C9F" w:rsidRPr="00E33C9F" w:rsidRDefault="00E33C9F" w:rsidP="00E33C9F">
            <w:pPr>
              <w:jc w:val="center"/>
              <w:rPr>
                <w:rFonts w:ascii="Times New Roman" w:eastAsiaTheme="minorHAnsi" w:hAnsi="Times New Roman" w:cs="Times New Roman"/>
                <w:i w:val="0"/>
                <w:smallCaps/>
                <w:sz w:val="24"/>
                <w:szCs w:val="24"/>
                <w:u w:val="single"/>
              </w:rPr>
            </w:pPr>
            <w:r w:rsidRPr="00E33C9F">
              <w:rPr>
                <w:rFonts w:ascii="Times New Roman" w:eastAsiaTheme="minorHAnsi" w:hAnsi="Times New Roman" w:cs="Times New Roman"/>
                <w:i w:val="0"/>
                <w:smallCaps/>
                <w:sz w:val="24"/>
                <w:szCs w:val="24"/>
                <w:u w:val="single"/>
              </w:rPr>
              <w:t>$10,174</w:t>
            </w:r>
          </w:p>
        </w:tc>
      </w:tr>
      <w:tr w:rsidR="00E33C9F" w:rsidRPr="00E33C9F" w:rsidTr="00E74F8B">
        <w:tc>
          <w:tcPr>
            <w:tcW w:w="6660" w:type="dxa"/>
          </w:tcPr>
          <w:p w:rsidR="00E33C9F" w:rsidRPr="00E33C9F" w:rsidRDefault="00E33C9F" w:rsidP="00E33C9F">
            <w:pPr>
              <w:rPr>
                <w:rFonts w:ascii="Times New Roman" w:eastAsiaTheme="minorHAnsi" w:hAnsi="Times New Roman" w:cs="Times New Roman"/>
                <w:i w:val="0"/>
                <w:smallCaps/>
                <w:sz w:val="24"/>
                <w:szCs w:val="24"/>
                <w:u w:val="single"/>
              </w:rPr>
            </w:pPr>
            <w:r w:rsidRPr="00E33C9F">
              <w:rPr>
                <w:rFonts w:ascii="Times New Roman" w:eastAsiaTheme="minorHAnsi" w:hAnsi="Times New Roman" w:cs="Times New Roman"/>
                <w:i w:val="0"/>
                <w:smallCaps/>
                <w:sz w:val="24"/>
                <w:szCs w:val="24"/>
                <w:u w:val="single"/>
              </w:rPr>
              <w:t>Average Estimated Electric Bill Savings</w:t>
            </w:r>
          </w:p>
        </w:tc>
        <w:tc>
          <w:tcPr>
            <w:tcW w:w="1800" w:type="dxa"/>
          </w:tcPr>
          <w:p w:rsidR="00E33C9F" w:rsidRPr="00E33C9F" w:rsidRDefault="00E33C9F" w:rsidP="00E33C9F">
            <w:pPr>
              <w:jc w:val="center"/>
              <w:rPr>
                <w:rFonts w:ascii="Times New Roman" w:eastAsiaTheme="minorHAnsi" w:hAnsi="Times New Roman" w:cs="Times New Roman"/>
                <w:i w:val="0"/>
                <w:smallCaps/>
                <w:sz w:val="24"/>
                <w:szCs w:val="24"/>
                <w:u w:val="single"/>
              </w:rPr>
            </w:pPr>
            <w:r w:rsidRPr="00E33C9F">
              <w:rPr>
                <w:rFonts w:ascii="Times New Roman" w:eastAsiaTheme="minorHAnsi" w:hAnsi="Times New Roman" w:cs="Times New Roman"/>
                <w:i w:val="0"/>
                <w:smallCaps/>
                <w:sz w:val="24"/>
                <w:szCs w:val="24"/>
                <w:u w:val="single"/>
              </w:rPr>
              <w:t>$13,825</w:t>
            </w:r>
          </w:p>
        </w:tc>
      </w:tr>
    </w:tbl>
    <w:p w:rsidR="00E33C9F" w:rsidRPr="00E33C9F" w:rsidRDefault="00E33C9F" w:rsidP="00E33C9F">
      <w:pPr>
        <w:rPr>
          <w:rFonts w:eastAsiaTheme="minorHAnsi"/>
        </w:rPr>
      </w:pPr>
    </w:p>
    <w:p w:rsidR="00E33C9F" w:rsidRDefault="00E33C9F" w:rsidP="00E33C9F">
      <w:pPr>
        <w:ind w:firstLine="720"/>
        <w:rPr>
          <w:rFonts w:eastAsiaTheme="minorHAnsi"/>
        </w:rPr>
      </w:pPr>
      <w:r w:rsidRPr="00E33C9F">
        <w:rPr>
          <w:rFonts w:eastAsiaTheme="minorHAnsi"/>
        </w:rPr>
        <w:t xml:space="preserve">The administration would like to proceed with the completion of the project engineering at a cost of $28,900.  If the completed engineering provides information indicating the viability of completing the solar project, the administration will come back to the Board for overall project approval, which will contain adjusted information on the cost of the project, if needed.  </w:t>
      </w:r>
    </w:p>
    <w:p w:rsidR="007E25EA" w:rsidRDefault="007E25EA" w:rsidP="007E25EA">
      <w:pPr>
        <w:rPr>
          <w:rFonts w:eastAsiaTheme="minorHAnsi"/>
        </w:rPr>
      </w:pPr>
    </w:p>
    <w:p w:rsidR="007438A9" w:rsidRDefault="007E25EA" w:rsidP="007E25EA">
      <w:pPr>
        <w:rPr>
          <w:rFonts w:eastAsiaTheme="minorHAnsi"/>
        </w:rPr>
      </w:pPr>
      <w:r>
        <w:rPr>
          <w:rFonts w:eastAsiaTheme="minorHAnsi"/>
        </w:rPr>
        <w:t>-------------------------------</w:t>
      </w:r>
    </w:p>
    <w:p w:rsidR="007E25EA" w:rsidRDefault="007E25EA" w:rsidP="007E25EA">
      <w:pPr>
        <w:rPr>
          <w:rFonts w:eastAsiaTheme="minorHAnsi"/>
        </w:rPr>
      </w:pPr>
    </w:p>
    <w:p w:rsidR="00E74F8B" w:rsidRDefault="00E74F8B" w:rsidP="007E25EA">
      <w:pPr>
        <w:ind w:firstLine="720"/>
        <w:rPr>
          <w:rFonts w:eastAsiaTheme="minorHAnsi"/>
        </w:rPr>
      </w:pPr>
      <w:r>
        <w:rPr>
          <w:rFonts w:eastAsiaTheme="minorHAnsi"/>
        </w:rPr>
        <w:br/>
      </w:r>
    </w:p>
    <w:p w:rsidR="00E74F8B" w:rsidRDefault="00E74F8B">
      <w:pPr>
        <w:spacing w:after="160" w:line="259" w:lineRule="auto"/>
        <w:rPr>
          <w:rFonts w:eastAsiaTheme="minorHAnsi"/>
        </w:rPr>
      </w:pPr>
      <w:r>
        <w:rPr>
          <w:rFonts w:eastAsiaTheme="minorHAnsi"/>
        </w:rPr>
        <w:br w:type="page"/>
      </w:r>
    </w:p>
    <w:p w:rsidR="00473AEA" w:rsidRPr="00F446D8" w:rsidRDefault="007438A9" w:rsidP="00F446D8">
      <w:pPr>
        <w:ind w:firstLine="720"/>
        <w:rPr>
          <w:rFonts w:eastAsiaTheme="minorHAnsi"/>
        </w:rPr>
      </w:pPr>
      <w:r>
        <w:rPr>
          <w:rFonts w:eastAsiaTheme="minorHAnsi"/>
        </w:rPr>
        <w:lastRenderedPageBreak/>
        <w:t>Since the April 23 meeting, the College</w:t>
      </w:r>
      <w:r w:rsidR="00E74F8B">
        <w:rPr>
          <w:rFonts w:eastAsiaTheme="minorHAnsi"/>
        </w:rPr>
        <w:t xml:space="preserve">’s interconnection application has been approved by </w:t>
      </w:r>
      <w:proofErr w:type="spellStart"/>
      <w:r>
        <w:rPr>
          <w:rFonts w:eastAsiaTheme="minorHAnsi"/>
        </w:rPr>
        <w:t>Co</w:t>
      </w:r>
      <w:r w:rsidR="002070C5">
        <w:rPr>
          <w:rFonts w:eastAsiaTheme="minorHAnsi"/>
        </w:rPr>
        <w:t>mEd</w:t>
      </w:r>
      <w:proofErr w:type="spellEnd"/>
      <w:r w:rsidR="002070C5">
        <w:rPr>
          <w:rFonts w:eastAsiaTheme="minorHAnsi"/>
        </w:rPr>
        <w:t xml:space="preserve">, thus qualifying the College for </w:t>
      </w:r>
      <w:r w:rsidR="002070C5" w:rsidRPr="002070C5">
        <w:rPr>
          <w:rFonts w:eastAsiaTheme="minorHAnsi"/>
        </w:rPr>
        <w:t>Solar R</w:t>
      </w:r>
      <w:r w:rsidR="002070C5">
        <w:rPr>
          <w:rFonts w:eastAsiaTheme="minorHAnsi"/>
        </w:rPr>
        <w:t xml:space="preserve">enewable Energy Credits (SRECs) if the project </w:t>
      </w:r>
      <w:r w:rsidR="002070C5" w:rsidRPr="00F446D8">
        <w:rPr>
          <w:rFonts w:eastAsiaTheme="minorHAnsi"/>
        </w:rPr>
        <w:t>is pursued.</w:t>
      </w:r>
      <w:r w:rsidR="00F446D8">
        <w:rPr>
          <w:rFonts w:eastAsiaTheme="minorHAnsi"/>
        </w:rPr>
        <w:t xml:space="preserve">  </w:t>
      </w:r>
      <w:r w:rsidR="00E74F8B" w:rsidRPr="00F446D8">
        <w:rPr>
          <w:rFonts w:eastAsiaTheme="minorHAnsi"/>
        </w:rPr>
        <w:t xml:space="preserve">Updated information below shows a payback of </w:t>
      </w:r>
      <w:r w:rsidR="00F446D8" w:rsidRPr="00F446D8">
        <w:rPr>
          <w:rFonts w:eastAsiaTheme="minorHAnsi"/>
        </w:rPr>
        <w:t>7.3 to 8.6</w:t>
      </w:r>
      <w:r w:rsidR="00E74F8B" w:rsidRPr="00F446D8">
        <w:rPr>
          <w:rFonts w:eastAsiaTheme="minorHAnsi"/>
        </w:rPr>
        <w:t xml:space="preserve"> years.</w:t>
      </w:r>
    </w:p>
    <w:p w:rsidR="00E74F8B" w:rsidRPr="00F446D8" w:rsidRDefault="00E74F8B" w:rsidP="007E25EA">
      <w:pPr>
        <w:ind w:firstLine="720"/>
        <w:rPr>
          <w:rFonts w:eastAsiaTheme="minorHAnsi"/>
        </w:rPr>
      </w:pPr>
    </w:p>
    <w:tbl>
      <w:tblPr>
        <w:tblStyle w:val="TableGrid1"/>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1467"/>
        <w:gridCol w:w="1670"/>
      </w:tblGrid>
      <w:tr w:rsidR="00E74F8B" w:rsidRPr="00F446D8" w:rsidTr="00E74F8B">
        <w:tc>
          <w:tcPr>
            <w:tcW w:w="5508" w:type="dxa"/>
          </w:tcPr>
          <w:p w:rsidR="00E74F8B" w:rsidRPr="00F446D8" w:rsidRDefault="00E74F8B" w:rsidP="00E74F8B">
            <w:pPr>
              <w:rPr>
                <w:rFonts w:ascii="Times New Roman" w:eastAsiaTheme="minorHAnsi" w:hAnsi="Times New Roman" w:cs="Times New Roman"/>
                <w:sz w:val="24"/>
                <w:szCs w:val="24"/>
              </w:rPr>
            </w:pPr>
          </w:p>
        </w:tc>
        <w:tc>
          <w:tcPr>
            <w:tcW w:w="1467" w:type="dxa"/>
          </w:tcPr>
          <w:p w:rsidR="00E74F8B" w:rsidRPr="00F446D8" w:rsidRDefault="00E74F8B" w:rsidP="00E74F8B">
            <w:pPr>
              <w:jc w:val="center"/>
              <w:rPr>
                <w:rFonts w:ascii="Times New Roman" w:eastAsiaTheme="minorHAnsi" w:hAnsi="Times New Roman" w:cs="Times New Roman"/>
                <w:b/>
                <w:i w:val="0"/>
                <w:sz w:val="24"/>
                <w:szCs w:val="24"/>
              </w:rPr>
            </w:pPr>
            <w:r w:rsidRPr="00F446D8">
              <w:rPr>
                <w:rFonts w:ascii="Times New Roman" w:eastAsiaTheme="minorHAnsi" w:hAnsi="Times New Roman" w:cs="Times New Roman"/>
                <w:b/>
                <w:i w:val="0"/>
                <w:sz w:val="24"/>
                <w:szCs w:val="24"/>
              </w:rPr>
              <w:t>Block 1</w:t>
            </w:r>
          </w:p>
        </w:tc>
        <w:tc>
          <w:tcPr>
            <w:tcW w:w="1670" w:type="dxa"/>
          </w:tcPr>
          <w:p w:rsidR="00E74F8B" w:rsidRPr="00F446D8" w:rsidRDefault="00E74F8B" w:rsidP="00E74F8B">
            <w:pPr>
              <w:jc w:val="center"/>
              <w:rPr>
                <w:rFonts w:ascii="Times New Roman" w:eastAsiaTheme="minorHAnsi" w:hAnsi="Times New Roman" w:cs="Times New Roman"/>
                <w:b/>
                <w:i w:val="0"/>
                <w:sz w:val="24"/>
                <w:szCs w:val="24"/>
              </w:rPr>
            </w:pPr>
            <w:r w:rsidRPr="00F446D8">
              <w:rPr>
                <w:rFonts w:ascii="Times New Roman" w:eastAsiaTheme="minorHAnsi" w:hAnsi="Times New Roman" w:cs="Times New Roman"/>
                <w:b/>
                <w:i w:val="0"/>
                <w:sz w:val="24"/>
                <w:szCs w:val="24"/>
              </w:rPr>
              <w:t>Block 4</w:t>
            </w:r>
          </w:p>
        </w:tc>
      </w:tr>
      <w:tr w:rsidR="00E74F8B" w:rsidRPr="00F446D8" w:rsidTr="00E74F8B">
        <w:tc>
          <w:tcPr>
            <w:tcW w:w="5508" w:type="dxa"/>
          </w:tcPr>
          <w:p w:rsidR="00E74F8B" w:rsidRPr="00F446D8" w:rsidRDefault="00E74F8B" w:rsidP="00E74F8B">
            <w:pPr>
              <w:rPr>
                <w:rFonts w:ascii="Times New Roman" w:eastAsiaTheme="minorHAnsi" w:hAnsi="Times New Roman" w:cs="Times New Roman"/>
                <w:i w:val="0"/>
                <w:sz w:val="24"/>
                <w:szCs w:val="24"/>
              </w:rPr>
            </w:pPr>
            <w:r w:rsidRPr="00F446D8">
              <w:rPr>
                <w:rFonts w:ascii="Times New Roman" w:eastAsiaTheme="minorHAnsi" w:hAnsi="Times New Roman" w:cs="Times New Roman"/>
                <w:i w:val="0"/>
                <w:sz w:val="24"/>
                <w:szCs w:val="24"/>
              </w:rPr>
              <w:t xml:space="preserve">System Size in </w:t>
            </w:r>
            <w:r w:rsidRPr="00F446D8">
              <w:rPr>
                <w:rFonts w:ascii="Times New Roman" w:eastAsiaTheme="minorHAnsi" w:hAnsi="Times New Roman" w:cs="Times New Roman"/>
                <w:bCs/>
                <w:i w:val="0"/>
                <w:color w:val="222222"/>
                <w:sz w:val="24"/>
                <w:szCs w:val="24"/>
                <w:shd w:val="clear" w:color="auto" w:fill="FFFFFF"/>
              </w:rPr>
              <w:t>kilowatts</w:t>
            </w:r>
            <w:r w:rsidRPr="00F446D8">
              <w:rPr>
                <w:rFonts w:ascii="Times New Roman" w:eastAsiaTheme="minorHAnsi" w:hAnsi="Times New Roman" w:cs="Times New Roman"/>
                <w:i w:val="0"/>
                <w:sz w:val="24"/>
                <w:szCs w:val="24"/>
              </w:rPr>
              <w:t xml:space="preserve"> (</w:t>
            </w:r>
            <w:r w:rsidRPr="00F446D8">
              <w:rPr>
                <w:rFonts w:ascii="Times New Roman" w:eastAsiaTheme="minorHAnsi" w:hAnsi="Times New Roman" w:cs="Times New Roman"/>
                <w:bCs/>
                <w:i w:val="0"/>
                <w:color w:val="222222"/>
                <w:sz w:val="24"/>
                <w:szCs w:val="24"/>
                <w:shd w:val="clear" w:color="auto" w:fill="FFFFFF"/>
              </w:rPr>
              <w:t>kWh)</w:t>
            </w:r>
          </w:p>
        </w:tc>
        <w:tc>
          <w:tcPr>
            <w:tcW w:w="1467" w:type="dxa"/>
          </w:tcPr>
          <w:p w:rsidR="00E74F8B" w:rsidRPr="00F446D8" w:rsidRDefault="00E74F8B" w:rsidP="00E74F8B">
            <w:pPr>
              <w:jc w:val="center"/>
              <w:rPr>
                <w:rFonts w:ascii="Times New Roman" w:eastAsiaTheme="minorHAnsi" w:hAnsi="Times New Roman" w:cs="Times New Roman"/>
                <w:i w:val="0"/>
                <w:sz w:val="24"/>
                <w:szCs w:val="24"/>
              </w:rPr>
            </w:pPr>
            <w:r w:rsidRPr="00F446D8">
              <w:rPr>
                <w:rFonts w:ascii="Times New Roman" w:eastAsiaTheme="minorHAnsi" w:hAnsi="Times New Roman" w:cs="Times New Roman"/>
                <w:i w:val="0"/>
                <w:sz w:val="24"/>
                <w:szCs w:val="24"/>
              </w:rPr>
              <w:t>124.44</w:t>
            </w:r>
          </w:p>
        </w:tc>
        <w:tc>
          <w:tcPr>
            <w:tcW w:w="1670" w:type="dxa"/>
          </w:tcPr>
          <w:p w:rsidR="00E74F8B" w:rsidRPr="00F446D8" w:rsidRDefault="00E74F8B" w:rsidP="00E74F8B">
            <w:pPr>
              <w:jc w:val="center"/>
              <w:rPr>
                <w:rFonts w:ascii="Times New Roman" w:eastAsiaTheme="minorHAnsi" w:hAnsi="Times New Roman" w:cs="Times New Roman"/>
                <w:i w:val="0"/>
                <w:sz w:val="24"/>
                <w:szCs w:val="24"/>
              </w:rPr>
            </w:pPr>
            <w:r w:rsidRPr="00F446D8">
              <w:rPr>
                <w:rFonts w:ascii="Times New Roman" w:eastAsiaTheme="minorHAnsi" w:hAnsi="Times New Roman" w:cs="Times New Roman"/>
                <w:i w:val="0"/>
                <w:sz w:val="24"/>
                <w:szCs w:val="24"/>
              </w:rPr>
              <w:t>124.44</w:t>
            </w:r>
          </w:p>
        </w:tc>
      </w:tr>
      <w:tr w:rsidR="00E74F8B" w:rsidRPr="00F446D8" w:rsidTr="00E74F8B">
        <w:tc>
          <w:tcPr>
            <w:tcW w:w="5508" w:type="dxa"/>
          </w:tcPr>
          <w:p w:rsidR="00E74F8B" w:rsidRPr="00F446D8" w:rsidRDefault="00E74F8B" w:rsidP="00E74F8B">
            <w:pPr>
              <w:rPr>
                <w:rFonts w:ascii="Times New Roman" w:eastAsiaTheme="minorHAnsi" w:hAnsi="Times New Roman" w:cs="Times New Roman"/>
                <w:i w:val="0"/>
                <w:sz w:val="24"/>
                <w:szCs w:val="24"/>
              </w:rPr>
            </w:pPr>
            <w:r w:rsidRPr="00F446D8">
              <w:rPr>
                <w:rFonts w:ascii="Times New Roman" w:eastAsiaTheme="minorHAnsi" w:hAnsi="Times New Roman" w:cs="Times New Roman"/>
                <w:i w:val="0"/>
                <w:sz w:val="24"/>
                <w:szCs w:val="24"/>
              </w:rPr>
              <w:t>System Cost Calculation</w:t>
            </w:r>
          </w:p>
        </w:tc>
        <w:tc>
          <w:tcPr>
            <w:tcW w:w="1467" w:type="dxa"/>
          </w:tcPr>
          <w:p w:rsidR="00E74F8B" w:rsidRPr="00F446D8" w:rsidRDefault="00E74F8B" w:rsidP="00E74F8B">
            <w:pPr>
              <w:jc w:val="center"/>
              <w:rPr>
                <w:rFonts w:ascii="Times New Roman" w:eastAsiaTheme="minorHAnsi" w:hAnsi="Times New Roman" w:cs="Times New Roman"/>
                <w:i w:val="0"/>
                <w:sz w:val="24"/>
                <w:szCs w:val="24"/>
              </w:rPr>
            </w:pPr>
            <w:r w:rsidRPr="00F446D8">
              <w:rPr>
                <w:rFonts w:ascii="Times New Roman" w:eastAsiaTheme="minorHAnsi" w:hAnsi="Times New Roman" w:cs="Times New Roman"/>
                <w:i w:val="0"/>
                <w:sz w:val="24"/>
                <w:szCs w:val="24"/>
              </w:rPr>
              <w:t>(in $’s)</w:t>
            </w:r>
          </w:p>
        </w:tc>
        <w:tc>
          <w:tcPr>
            <w:tcW w:w="1670" w:type="dxa"/>
          </w:tcPr>
          <w:p w:rsidR="00E74F8B" w:rsidRPr="00F446D8" w:rsidRDefault="00E74F8B" w:rsidP="00E74F8B">
            <w:pPr>
              <w:jc w:val="center"/>
              <w:rPr>
                <w:rFonts w:ascii="Times New Roman" w:eastAsiaTheme="minorHAnsi" w:hAnsi="Times New Roman" w:cs="Times New Roman"/>
                <w:i w:val="0"/>
                <w:sz w:val="24"/>
                <w:szCs w:val="24"/>
              </w:rPr>
            </w:pPr>
            <w:r w:rsidRPr="00F446D8">
              <w:rPr>
                <w:rFonts w:ascii="Times New Roman" w:eastAsiaTheme="minorHAnsi" w:hAnsi="Times New Roman" w:cs="Times New Roman"/>
                <w:i w:val="0"/>
                <w:sz w:val="24"/>
                <w:szCs w:val="24"/>
              </w:rPr>
              <w:t>(in $’s)</w:t>
            </w:r>
          </w:p>
        </w:tc>
      </w:tr>
      <w:tr w:rsidR="00E74F8B" w:rsidRPr="00F446D8" w:rsidTr="00E74F8B">
        <w:tc>
          <w:tcPr>
            <w:tcW w:w="5508" w:type="dxa"/>
          </w:tcPr>
          <w:p w:rsidR="00E74F8B" w:rsidRPr="00F446D8" w:rsidRDefault="00E74F8B" w:rsidP="00E74F8B">
            <w:pPr>
              <w:rPr>
                <w:rFonts w:ascii="Times New Roman" w:eastAsiaTheme="minorHAnsi" w:hAnsi="Times New Roman" w:cs="Times New Roman"/>
                <w:b/>
                <w:i w:val="0"/>
                <w:sz w:val="24"/>
                <w:szCs w:val="24"/>
              </w:rPr>
            </w:pPr>
            <w:r w:rsidRPr="00F446D8">
              <w:rPr>
                <w:rFonts w:ascii="Times New Roman" w:eastAsiaTheme="minorHAnsi" w:hAnsi="Times New Roman" w:cs="Times New Roman"/>
                <w:b/>
                <w:i w:val="0"/>
                <w:sz w:val="24"/>
                <w:szCs w:val="24"/>
              </w:rPr>
              <w:t>Gross System Cost</w:t>
            </w:r>
          </w:p>
        </w:tc>
        <w:tc>
          <w:tcPr>
            <w:tcW w:w="1467" w:type="dxa"/>
          </w:tcPr>
          <w:p w:rsidR="00E74F8B" w:rsidRPr="00F446D8" w:rsidRDefault="00F446D8" w:rsidP="00E74F8B">
            <w:pPr>
              <w:jc w:val="center"/>
              <w:rPr>
                <w:rFonts w:ascii="Times New Roman" w:eastAsiaTheme="minorHAnsi" w:hAnsi="Times New Roman" w:cs="Times New Roman"/>
                <w:b/>
                <w:i w:val="0"/>
                <w:sz w:val="24"/>
                <w:szCs w:val="24"/>
              </w:rPr>
            </w:pPr>
            <w:r w:rsidRPr="00F446D8">
              <w:rPr>
                <w:rFonts w:ascii="Times New Roman" w:eastAsiaTheme="minorHAnsi" w:hAnsi="Times New Roman" w:cs="Times New Roman"/>
                <w:b/>
                <w:i w:val="0"/>
                <w:sz w:val="24"/>
                <w:szCs w:val="24"/>
              </w:rPr>
              <w:t>$27</w:t>
            </w:r>
            <w:r w:rsidR="00E74F8B" w:rsidRPr="00F446D8">
              <w:rPr>
                <w:rFonts w:ascii="Times New Roman" w:eastAsiaTheme="minorHAnsi" w:hAnsi="Times New Roman" w:cs="Times New Roman"/>
                <w:b/>
                <w:i w:val="0"/>
                <w:sz w:val="24"/>
                <w:szCs w:val="24"/>
              </w:rPr>
              <w:t>8,880</w:t>
            </w:r>
          </w:p>
        </w:tc>
        <w:tc>
          <w:tcPr>
            <w:tcW w:w="1670" w:type="dxa"/>
          </w:tcPr>
          <w:p w:rsidR="00E74F8B" w:rsidRPr="00F446D8" w:rsidRDefault="00F446D8" w:rsidP="00E74F8B">
            <w:pPr>
              <w:jc w:val="center"/>
              <w:rPr>
                <w:rFonts w:ascii="Times New Roman" w:eastAsiaTheme="minorHAnsi" w:hAnsi="Times New Roman" w:cs="Times New Roman"/>
                <w:b/>
                <w:i w:val="0"/>
                <w:sz w:val="24"/>
                <w:szCs w:val="24"/>
              </w:rPr>
            </w:pPr>
            <w:r w:rsidRPr="00F446D8">
              <w:rPr>
                <w:rFonts w:ascii="Times New Roman" w:eastAsiaTheme="minorHAnsi" w:hAnsi="Times New Roman" w:cs="Times New Roman"/>
                <w:b/>
                <w:i w:val="0"/>
                <w:sz w:val="24"/>
                <w:szCs w:val="24"/>
              </w:rPr>
              <w:t>$27</w:t>
            </w:r>
            <w:r w:rsidR="00E74F8B" w:rsidRPr="00F446D8">
              <w:rPr>
                <w:rFonts w:ascii="Times New Roman" w:eastAsiaTheme="minorHAnsi" w:hAnsi="Times New Roman" w:cs="Times New Roman"/>
                <w:b/>
                <w:i w:val="0"/>
                <w:sz w:val="24"/>
                <w:szCs w:val="24"/>
              </w:rPr>
              <w:t>8,880</w:t>
            </w:r>
          </w:p>
        </w:tc>
      </w:tr>
      <w:tr w:rsidR="00E74F8B" w:rsidRPr="00F446D8" w:rsidTr="00E74F8B">
        <w:tc>
          <w:tcPr>
            <w:tcW w:w="5508" w:type="dxa"/>
          </w:tcPr>
          <w:p w:rsidR="00E74F8B" w:rsidRPr="00F446D8" w:rsidRDefault="00E74F8B" w:rsidP="00E74F8B">
            <w:pPr>
              <w:rPr>
                <w:rFonts w:ascii="Times New Roman" w:eastAsiaTheme="minorHAnsi" w:hAnsi="Times New Roman" w:cs="Times New Roman"/>
                <w:sz w:val="24"/>
                <w:szCs w:val="24"/>
              </w:rPr>
            </w:pPr>
            <w:proofErr w:type="spellStart"/>
            <w:r w:rsidRPr="00F446D8">
              <w:rPr>
                <w:rFonts w:ascii="Times New Roman" w:eastAsiaTheme="minorHAnsi" w:hAnsi="Times New Roman" w:cs="Times New Roman"/>
                <w:sz w:val="24"/>
                <w:szCs w:val="24"/>
              </w:rPr>
              <w:t>ComEd</w:t>
            </w:r>
            <w:proofErr w:type="spellEnd"/>
            <w:r w:rsidRPr="00F446D8">
              <w:rPr>
                <w:rFonts w:ascii="Times New Roman" w:eastAsiaTheme="minorHAnsi" w:hAnsi="Times New Roman" w:cs="Times New Roman"/>
                <w:sz w:val="24"/>
                <w:szCs w:val="24"/>
              </w:rPr>
              <w:t xml:space="preserve"> Rebates</w:t>
            </w:r>
          </w:p>
        </w:tc>
        <w:tc>
          <w:tcPr>
            <w:tcW w:w="1467" w:type="dxa"/>
          </w:tcPr>
          <w:p w:rsidR="00E74F8B" w:rsidRPr="00F446D8" w:rsidRDefault="00E74F8B" w:rsidP="00E74F8B">
            <w:pPr>
              <w:jc w:val="center"/>
              <w:rPr>
                <w:rFonts w:ascii="Times New Roman" w:eastAsiaTheme="minorHAnsi" w:hAnsi="Times New Roman" w:cs="Times New Roman"/>
                <w:sz w:val="24"/>
                <w:szCs w:val="24"/>
              </w:rPr>
            </w:pPr>
            <w:r w:rsidRPr="00F446D8">
              <w:rPr>
                <w:rFonts w:ascii="Times New Roman" w:eastAsiaTheme="minorHAnsi" w:hAnsi="Times New Roman" w:cs="Times New Roman"/>
                <w:sz w:val="24"/>
                <w:szCs w:val="24"/>
              </w:rPr>
              <w:t>($31,110)</w:t>
            </w:r>
          </w:p>
        </w:tc>
        <w:tc>
          <w:tcPr>
            <w:tcW w:w="1670" w:type="dxa"/>
          </w:tcPr>
          <w:p w:rsidR="00E74F8B" w:rsidRPr="00F446D8" w:rsidRDefault="00E74F8B" w:rsidP="00E74F8B">
            <w:pPr>
              <w:jc w:val="center"/>
              <w:rPr>
                <w:rFonts w:ascii="Times New Roman" w:eastAsiaTheme="minorHAnsi" w:hAnsi="Times New Roman" w:cs="Times New Roman"/>
                <w:sz w:val="24"/>
                <w:szCs w:val="24"/>
              </w:rPr>
            </w:pPr>
            <w:r w:rsidRPr="00F446D8">
              <w:rPr>
                <w:rFonts w:ascii="Times New Roman" w:eastAsiaTheme="minorHAnsi" w:hAnsi="Times New Roman" w:cs="Times New Roman"/>
                <w:sz w:val="24"/>
                <w:szCs w:val="24"/>
              </w:rPr>
              <w:t>($31,110)</w:t>
            </w:r>
          </w:p>
        </w:tc>
      </w:tr>
      <w:tr w:rsidR="00E74F8B" w:rsidRPr="00F446D8" w:rsidTr="00E74F8B">
        <w:tc>
          <w:tcPr>
            <w:tcW w:w="5508" w:type="dxa"/>
          </w:tcPr>
          <w:p w:rsidR="00E74F8B" w:rsidRPr="00F446D8" w:rsidRDefault="00F446D8" w:rsidP="00E74F8B">
            <w:pPr>
              <w:rPr>
                <w:rFonts w:ascii="Times New Roman" w:eastAsiaTheme="minorHAnsi" w:hAnsi="Times New Roman" w:cs="Times New Roman"/>
                <w:sz w:val="24"/>
                <w:szCs w:val="24"/>
                <w:highlight w:val="lightGray"/>
              </w:rPr>
            </w:pPr>
            <w:r w:rsidRPr="00F446D8">
              <w:rPr>
                <w:rFonts w:ascii="Times New Roman" w:eastAsiaTheme="minorHAnsi" w:hAnsi="Times New Roman" w:cs="Times New Roman"/>
                <w:sz w:val="24"/>
                <w:szCs w:val="24"/>
                <w:highlight w:val="lightGray"/>
              </w:rPr>
              <w:t>Less Solar Renewable Energy Credits (SRECs)</w:t>
            </w:r>
          </w:p>
        </w:tc>
        <w:tc>
          <w:tcPr>
            <w:tcW w:w="1467" w:type="dxa"/>
          </w:tcPr>
          <w:p w:rsidR="00E74F8B" w:rsidRPr="00F446D8" w:rsidRDefault="00F446D8" w:rsidP="00E74F8B">
            <w:pPr>
              <w:jc w:val="center"/>
              <w:rPr>
                <w:rFonts w:ascii="Times New Roman" w:eastAsiaTheme="minorHAnsi" w:hAnsi="Times New Roman" w:cs="Times New Roman"/>
                <w:sz w:val="24"/>
                <w:szCs w:val="24"/>
                <w:highlight w:val="lightGray"/>
              </w:rPr>
            </w:pPr>
            <w:r w:rsidRPr="00F446D8">
              <w:rPr>
                <w:rFonts w:ascii="Times New Roman" w:eastAsiaTheme="minorHAnsi" w:hAnsi="Times New Roman" w:cs="Times New Roman"/>
                <w:sz w:val="24"/>
                <w:szCs w:val="24"/>
                <w:highlight w:val="lightGray"/>
              </w:rPr>
              <w:t>($150,570</w:t>
            </w:r>
            <w:r w:rsidR="00E74F8B" w:rsidRPr="00F446D8">
              <w:rPr>
                <w:rFonts w:ascii="Times New Roman" w:eastAsiaTheme="minorHAnsi" w:hAnsi="Times New Roman" w:cs="Times New Roman"/>
                <w:sz w:val="24"/>
                <w:szCs w:val="24"/>
                <w:highlight w:val="lightGray"/>
              </w:rPr>
              <w:t>)</w:t>
            </w:r>
          </w:p>
        </w:tc>
        <w:tc>
          <w:tcPr>
            <w:tcW w:w="1670" w:type="dxa"/>
          </w:tcPr>
          <w:p w:rsidR="00E74F8B" w:rsidRPr="00F446D8" w:rsidRDefault="00F446D8" w:rsidP="00E74F8B">
            <w:pPr>
              <w:jc w:val="center"/>
              <w:rPr>
                <w:rFonts w:ascii="Times New Roman" w:eastAsiaTheme="minorHAnsi" w:hAnsi="Times New Roman" w:cs="Times New Roman"/>
                <w:sz w:val="24"/>
                <w:szCs w:val="24"/>
                <w:highlight w:val="lightGray"/>
              </w:rPr>
            </w:pPr>
            <w:r w:rsidRPr="00F446D8">
              <w:rPr>
                <w:rFonts w:ascii="Times New Roman" w:eastAsiaTheme="minorHAnsi" w:hAnsi="Times New Roman" w:cs="Times New Roman"/>
                <w:sz w:val="24"/>
                <w:szCs w:val="24"/>
                <w:highlight w:val="lightGray"/>
              </w:rPr>
              <w:t>($133,215</w:t>
            </w:r>
            <w:r w:rsidR="00E74F8B" w:rsidRPr="00F446D8">
              <w:rPr>
                <w:rFonts w:ascii="Times New Roman" w:eastAsiaTheme="minorHAnsi" w:hAnsi="Times New Roman" w:cs="Times New Roman"/>
                <w:sz w:val="24"/>
                <w:szCs w:val="24"/>
                <w:highlight w:val="lightGray"/>
              </w:rPr>
              <w:t>)</w:t>
            </w:r>
          </w:p>
        </w:tc>
      </w:tr>
      <w:tr w:rsidR="00E74F8B" w:rsidRPr="00F446D8" w:rsidTr="00E74F8B">
        <w:tc>
          <w:tcPr>
            <w:tcW w:w="5508" w:type="dxa"/>
          </w:tcPr>
          <w:p w:rsidR="00E74F8B" w:rsidRPr="00F446D8" w:rsidRDefault="00E74F8B" w:rsidP="00E74F8B">
            <w:pPr>
              <w:rPr>
                <w:rFonts w:ascii="Times New Roman" w:eastAsiaTheme="minorHAnsi" w:hAnsi="Times New Roman" w:cs="Times New Roman"/>
                <w:b/>
                <w:i w:val="0"/>
                <w:sz w:val="24"/>
                <w:szCs w:val="24"/>
              </w:rPr>
            </w:pPr>
            <w:r w:rsidRPr="00F446D8">
              <w:rPr>
                <w:rFonts w:ascii="Times New Roman" w:eastAsiaTheme="minorHAnsi" w:hAnsi="Times New Roman" w:cs="Times New Roman"/>
                <w:b/>
                <w:i w:val="0"/>
                <w:sz w:val="24"/>
                <w:szCs w:val="24"/>
              </w:rPr>
              <w:t>Net System Cost</w:t>
            </w:r>
          </w:p>
        </w:tc>
        <w:tc>
          <w:tcPr>
            <w:tcW w:w="1467" w:type="dxa"/>
          </w:tcPr>
          <w:p w:rsidR="00E74F8B" w:rsidRPr="00F446D8" w:rsidRDefault="00F446D8" w:rsidP="00E74F8B">
            <w:pPr>
              <w:jc w:val="center"/>
              <w:rPr>
                <w:rFonts w:ascii="Times New Roman" w:eastAsiaTheme="minorHAnsi" w:hAnsi="Times New Roman" w:cs="Times New Roman"/>
                <w:b/>
                <w:i w:val="0"/>
                <w:sz w:val="24"/>
                <w:szCs w:val="24"/>
              </w:rPr>
            </w:pPr>
            <w:r w:rsidRPr="00F446D8">
              <w:rPr>
                <w:rFonts w:ascii="Times New Roman" w:eastAsiaTheme="minorHAnsi" w:hAnsi="Times New Roman" w:cs="Times New Roman"/>
                <w:b/>
                <w:i w:val="0"/>
                <w:sz w:val="24"/>
                <w:szCs w:val="24"/>
              </w:rPr>
              <w:t>$97,200</w:t>
            </w:r>
          </w:p>
        </w:tc>
        <w:tc>
          <w:tcPr>
            <w:tcW w:w="1670" w:type="dxa"/>
          </w:tcPr>
          <w:p w:rsidR="00E74F8B" w:rsidRPr="00F446D8" w:rsidRDefault="00F446D8" w:rsidP="00E74F8B">
            <w:pPr>
              <w:jc w:val="center"/>
              <w:rPr>
                <w:rFonts w:ascii="Times New Roman" w:eastAsiaTheme="minorHAnsi" w:hAnsi="Times New Roman" w:cs="Times New Roman"/>
                <w:b/>
                <w:i w:val="0"/>
                <w:sz w:val="24"/>
                <w:szCs w:val="24"/>
              </w:rPr>
            </w:pPr>
            <w:r w:rsidRPr="00F446D8">
              <w:rPr>
                <w:rFonts w:ascii="Times New Roman" w:eastAsiaTheme="minorHAnsi" w:hAnsi="Times New Roman" w:cs="Times New Roman"/>
                <w:b/>
                <w:i w:val="0"/>
                <w:sz w:val="24"/>
                <w:szCs w:val="24"/>
              </w:rPr>
              <w:t>$114,555</w:t>
            </w:r>
          </w:p>
        </w:tc>
      </w:tr>
      <w:tr w:rsidR="00E74F8B" w:rsidRPr="00F446D8" w:rsidTr="00E74F8B">
        <w:tc>
          <w:tcPr>
            <w:tcW w:w="5508" w:type="dxa"/>
          </w:tcPr>
          <w:p w:rsidR="00E74F8B" w:rsidRPr="00F446D8" w:rsidRDefault="00E74F8B" w:rsidP="00E74F8B">
            <w:pPr>
              <w:rPr>
                <w:rFonts w:ascii="Times New Roman" w:eastAsiaTheme="minorHAnsi" w:hAnsi="Times New Roman" w:cs="Times New Roman"/>
                <w:b/>
                <w:i w:val="0"/>
                <w:sz w:val="24"/>
                <w:szCs w:val="24"/>
              </w:rPr>
            </w:pPr>
            <w:r w:rsidRPr="00F446D8">
              <w:rPr>
                <w:rFonts w:ascii="Times New Roman" w:eastAsiaTheme="minorHAnsi" w:hAnsi="Times New Roman" w:cs="Times New Roman"/>
                <w:b/>
                <w:i w:val="0"/>
                <w:sz w:val="24"/>
                <w:szCs w:val="24"/>
              </w:rPr>
              <w:t>Payback in Years</w:t>
            </w:r>
          </w:p>
        </w:tc>
        <w:tc>
          <w:tcPr>
            <w:tcW w:w="1467" w:type="dxa"/>
          </w:tcPr>
          <w:p w:rsidR="00E74F8B" w:rsidRPr="00F446D8" w:rsidRDefault="00F446D8" w:rsidP="00E74F8B">
            <w:pPr>
              <w:jc w:val="center"/>
              <w:rPr>
                <w:rFonts w:ascii="Times New Roman" w:eastAsiaTheme="minorHAnsi" w:hAnsi="Times New Roman" w:cs="Times New Roman"/>
                <w:b/>
                <w:i w:val="0"/>
                <w:sz w:val="24"/>
                <w:szCs w:val="24"/>
              </w:rPr>
            </w:pPr>
            <w:r w:rsidRPr="00F446D8">
              <w:rPr>
                <w:rFonts w:ascii="Times New Roman" w:eastAsiaTheme="minorHAnsi" w:hAnsi="Times New Roman" w:cs="Times New Roman"/>
                <w:b/>
                <w:i w:val="0"/>
                <w:sz w:val="24"/>
                <w:szCs w:val="24"/>
              </w:rPr>
              <w:t>7.3</w:t>
            </w:r>
          </w:p>
        </w:tc>
        <w:tc>
          <w:tcPr>
            <w:tcW w:w="1670" w:type="dxa"/>
          </w:tcPr>
          <w:p w:rsidR="00E74F8B" w:rsidRPr="00F446D8" w:rsidRDefault="00F446D8" w:rsidP="00E74F8B">
            <w:pPr>
              <w:jc w:val="center"/>
              <w:rPr>
                <w:rFonts w:ascii="Times New Roman" w:eastAsiaTheme="minorHAnsi" w:hAnsi="Times New Roman" w:cs="Times New Roman"/>
                <w:b/>
                <w:i w:val="0"/>
                <w:sz w:val="24"/>
                <w:szCs w:val="24"/>
              </w:rPr>
            </w:pPr>
            <w:r w:rsidRPr="00F446D8">
              <w:rPr>
                <w:rFonts w:ascii="Times New Roman" w:eastAsiaTheme="minorHAnsi" w:hAnsi="Times New Roman" w:cs="Times New Roman"/>
                <w:b/>
                <w:i w:val="0"/>
                <w:sz w:val="24"/>
                <w:szCs w:val="24"/>
              </w:rPr>
              <w:t>8.6</w:t>
            </w:r>
          </w:p>
        </w:tc>
      </w:tr>
      <w:tr w:rsidR="00E74F8B" w:rsidRPr="00F446D8" w:rsidTr="00E74F8B">
        <w:trPr>
          <w:trHeight w:val="58"/>
        </w:trPr>
        <w:tc>
          <w:tcPr>
            <w:tcW w:w="5508" w:type="dxa"/>
          </w:tcPr>
          <w:p w:rsidR="00E74F8B" w:rsidRPr="00F446D8" w:rsidRDefault="00E74F8B" w:rsidP="00E74F8B">
            <w:pPr>
              <w:rPr>
                <w:rFonts w:ascii="Times New Roman" w:eastAsiaTheme="minorHAnsi" w:hAnsi="Times New Roman" w:cs="Times New Roman"/>
                <w:i w:val="0"/>
                <w:smallCaps/>
                <w:sz w:val="24"/>
                <w:szCs w:val="24"/>
                <w:u w:val="single"/>
              </w:rPr>
            </w:pPr>
            <w:r w:rsidRPr="00F446D8">
              <w:rPr>
                <w:rFonts w:ascii="Times New Roman" w:eastAsiaTheme="minorHAnsi" w:hAnsi="Times New Roman" w:cs="Times New Roman"/>
                <w:i w:val="0"/>
                <w:smallCaps/>
                <w:sz w:val="24"/>
                <w:szCs w:val="24"/>
                <w:u w:val="single"/>
              </w:rPr>
              <w:t>First-Year Estimated Electric Bill Savings</w:t>
            </w:r>
          </w:p>
        </w:tc>
        <w:tc>
          <w:tcPr>
            <w:tcW w:w="1467" w:type="dxa"/>
          </w:tcPr>
          <w:p w:rsidR="00E74F8B" w:rsidRPr="00F446D8" w:rsidRDefault="00E74F8B" w:rsidP="00E74F8B">
            <w:pPr>
              <w:jc w:val="center"/>
              <w:rPr>
                <w:rFonts w:ascii="Times New Roman" w:eastAsiaTheme="minorHAnsi" w:hAnsi="Times New Roman" w:cs="Times New Roman"/>
                <w:i w:val="0"/>
                <w:smallCaps/>
                <w:sz w:val="24"/>
                <w:szCs w:val="24"/>
                <w:u w:val="single"/>
              </w:rPr>
            </w:pPr>
            <w:r w:rsidRPr="00F446D8">
              <w:rPr>
                <w:rFonts w:ascii="Times New Roman" w:eastAsiaTheme="minorHAnsi" w:hAnsi="Times New Roman" w:cs="Times New Roman"/>
                <w:i w:val="0"/>
                <w:smallCaps/>
                <w:sz w:val="24"/>
                <w:szCs w:val="24"/>
                <w:u w:val="single"/>
              </w:rPr>
              <w:t>$10,174</w:t>
            </w:r>
          </w:p>
        </w:tc>
        <w:tc>
          <w:tcPr>
            <w:tcW w:w="1670" w:type="dxa"/>
          </w:tcPr>
          <w:p w:rsidR="00E74F8B" w:rsidRPr="00F446D8" w:rsidRDefault="00E74F8B" w:rsidP="00E74F8B">
            <w:pPr>
              <w:jc w:val="center"/>
              <w:rPr>
                <w:rFonts w:ascii="Times New Roman" w:eastAsiaTheme="minorHAnsi" w:hAnsi="Times New Roman" w:cs="Times New Roman"/>
                <w:i w:val="0"/>
                <w:smallCaps/>
                <w:sz w:val="24"/>
                <w:szCs w:val="24"/>
                <w:u w:val="single"/>
              </w:rPr>
            </w:pPr>
            <w:r w:rsidRPr="00F446D8">
              <w:rPr>
                <w:rFonts w:ascii="Times New Roman" w:eastAsiaTheme="minorHAnsi" w:hAnsi="Times New Roman" w:cs="Times New Roman"/>
                <w:i w:val="0"/>
                <w:smallCaps/>
                <w:sz w:val="24"/>
                <w:szCs w:val="24"/>
                <w:u w:val="single"/>
              </w:rPr>
              <w:t>$10,174</w:t>
            </w:r>
          </w:p>
        </w:tc>
      </w:tr>
      <w:tr w:rsidR="00E74F8B" w:rsidRPr="00F446D8" w:rsidTr="00E74F8B">
        <w:tc>
          <w:tcPr>
            <w:tcW w:w="5508" w:type="dxa"/>
          </w:tcPr>
          <w:p w:rsidR="00E74F8B" w:rsidRPr="00F446D8" w:rsidRDefault="00E74F8B" w:rsidP="00E74F8B">
            <w:pPr>
              <w:rPr>
                <w:rFonts w:ascii="Times New Roman" w:eastAsiaTheme="minorHAnsi" w:hAnsi="Times New Roman" w:cs="Times New Roman"/>
                <w:i w:val="0"/>
                <w:smallCaps/>
                <w:sz w:val="24"/>
                <w:szCs w:val="24"/>
                <w:u w:val="single"/>
              </w:rPr>
            </w:pPr>
            <w:r w:rsidRPr="00F446D8">
              <w:rPr>
                <w:rFonts w:ascii="Times New Roman" w:eastAsiaTheme="minorHAnsi" w:hAnsi="Times New Roman" w:cs="Times New Roman"/>
                <w:i w:val="0"/>
                <w:smallCaps/>
                <w:sz w:val="24"/>
                <w:szCs w:val="24"/>
                <w:u w:val="single"/>
              </w:rPr>
              <w:t>Average Estimated Electric Bill Savings</w:t>
            </w:r>
          </w:p>
        </w:tc>
        <w:tc>
          <w:tcPr>
            <w:tcW w:w="1467" w:type="dxa"/>
          </w:tcPr>
          <w:p w:rsidR="00E74F8B" w:rsidRPr="00F446D8" w:rsidRDefault="00E74F8B" w:rsidP="00E74F8B">
            <w:pPr>
              <w:jc w:val="center"/>
              <w:rPr>
                <w:rFonts w:ascii="Times New Roman" w:eastAsiaTheme="minorHAnsi" w:hAnsi="Times New Roman" w:cs="Times New Roman"/>
                <w:i w:val="0"/>
                <w:smallCaps/>
                <w:sz w:val="24"/>
                <w:szCs w:val="24"/>
                <w:u w:val="single"/>
              </w:rPr>
            </w:pPr>
            <w:r w:rsidRPr="00F446D8">
              <w:rPr>
                <w:rFonts w:ascii="Times New Roman" w:eastAsiaTheme="minorHAnsi" w:hAnsi="Times New Roman" w:cs="Times New Roman"/>
                <w:i w:val="0"/>
                <w:smallCaps/>
                <w:sz w:val="24"/>
                <w:szCs w:val="24"/>
                <w:u w:val="single"/>
              </w:rPr>
              <w:t>$13,825</w:t>
            </w:r>
          </w:p>
        </w:tc>
        <w:tc>
          <w:tcPr>
            <w:tcW w:w="1670" w:type="dxa"/>
          </w:tcPr>
          <w:p w:rsidR="00E74F8B" w:rsidRPr="00F446D8" w:rsidRDefault="00E74F8B" w:rsidP="00E74F8B">
            <w:pPr>
              <w:jc w:val="center"/>
              <w:rPr>
                <w:rFonts w:ascii="Times New Roman" w:eastAsiaTheme="minorHAnsi" w:hAnsi="Times New Roman" w:cs="Times New Roman"/>
                <w:i w:val="0"/>
                <w:smallCaps/>
                <w:sz w:val="24"/>
                <w:szCs w:val="24"/>
                <w:u w:val="single"/>
              </w:rPr>
            </w:pPr>
            <w:r w:rsidRPr="00F446D8">
              <w:rPr>
                <w:rFonts w:ascii="Times New Roman" w:eastAsiaTheme="minorHAnsi" w:hAnsi="Times New Roman" w:cs="Times New Roman"/>
                <w:i w:val="0"/>
                <w:smallCaps/>
                <w:sz w:val="24"/>
                <w:szCs w:val="24"/>
                <w:u w:val="single"/>
              </w:rPr>
              <w:t>$13,825</w:t>
            </w:r>
          </w:p>
        </w:tc>
      </w:tr>
    </w:tbl>
    <w:p w:rsidR="00390481" w:rsidRPr="00F446D8" w:rsidRDefault="00390481" w:rsidP="00E33C9F">
      <w:pPr>
        <w:rPr>
          <w:rFonts w:eastAsiaTheme="minorHAnsi"/>
        </w:rPr>
      </w:pPr>
    </w:p>
    <w:p w:rsidR="00E33C9F" w:rsidRPr="00F446D8" w:rsidRDefault="00E33C9F" w:rsidP="00E33C9F">
      <w:pPr>
        <w:rPr>
          <w:rFonts w:eastAsiaTheme="minorHAnsi"/>
        </w:rPr>
      </w:pPr>
      <w:r w:rsidRPr="00F446D8">
        <w:rPr>
          <w:rFonts w:eastAsiaTheme="minorHAnsi"/>
          <w:b/>
        </w:rPr>
        <w:t>Recommendation:</w:t>
      </w:r>
    </w:p>
    <w:p w:rsidR="00E33C9F" w:rsidRPr="00E33C9F" w:rsidRDefault="00E33C9F" w:rsidP="00E33C9F">
      <w:pPr>
        <w:ind w:firstLine="720"/>
        <w:rPr>
          <w:rFonts w:eastAsiaTheme="minorHAnsi"/>
        </w:rPr>
      </w:pPr>
      <w:r w:rsidRPr="00F446D8">
        <w:rPr>
          <w:rFonts w:eastAsiaTheme="minorHAnsi"/>
        </w:rPr>
        <w:t>The administration recommends the Board approve to expenditure of $28,900 for the engineering costs of the Solar Project.</w:t>
      </w:r>
    </w:p>
    <w:p w:rsidR="00E33C9F" w:rsidRPr="00E33C9F" w:rsidRDefault="00E33C9F" w:rsidP="00E33C9F">
      <w:pPr>
        <w:rPr>
          <w:rFonts w:asciiTheme="minorHAnsi" w:eastAsiaTheme="minorHAnsi" w:hAnsiTheme="minorHAnsi" w:cstheme="minorBidi"/>
          <w:sz w:val="22"/>
          <w:szCs w:val="22"/>
        </w:rPr>
      </w:pPr>
    </w:p>
    <w:p w:rsidR="0024699A" w:rsidRDefault="0024699A">
      <w:pPr>
        <w:spacing w:after="160" w:line="259" w:lineRule="auto"/>
        <w:rPr>
          <w:b/>
        </w:rPr>
      </w:pPr>
    </w:p>
    <w:p w:rsidR="00F67FF6" w:rsidRPr="00D157EC" w:rsidRDefault="00F67FF6" w:rsidP="00A47485">
      <w:pPr>
        <w:spacing w:after="160" w:line="259" w:lineRule="auto"/>
        <w:rPr>
          <w:color w:val="000000"/>
        </w:rPr>
      </w:pPr>
      <w:bookmarkStart w:id="0" w:name="_GoBack"/>
      <w:bookmarkEnd w:id="0"/>
    </w:p>
    <w:sectPr w:rsidR="00F67FF6" w:rsidRPr="00D157EC" w:rsidSect="00A47485">
      <w:pgSz w:w="12240" w:h="15840"/>
      <w:pgMar w:top="1440" w:right="1325" w:bottom="720"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75" w:hanging="328"/>
      </w:pPr>
      <w:rPr>
        <w:rFonts w:ascii="Times New Roman" w:hAnsi="Times New Roman" w:cs="Times New Roman"/>
        <w:b w:val="0"/>
        <w:bCs w:val="0"/>
        <w:color w:val="1C1C1C"/>
        <w:w w:val="180"/>
        <w:sz w:val="24"/>
        <w:szCs w:val="24"/>
      </w:rPr>
    </w:lvl>
    <w:lvl w:ilvl="1">
      <w:numFmt w:val="bullet"/>
      <w:lvlText w:val="•"/>
      <w:lvlJc w:val="left"/>
      <w:pPr>
        <w:ind w:left="824" w:hanging="328"/>
      </w:pPr>
      <w:rPr>
        <w:rFonts w:ascii="Times New Roman" w:hAnsi="Times New Roman" w:cs="Times New Roman"/>
        <w:b w:val="0"/>
        <w:bCs w:val="0"/>
        <w:color w:val="1C1C1C"/>
        <w:w w:val="180"/>
        <w:sz w:val="24"/>
        <w:szCs w:val="24"/>
      </w:rPr>
    </w:lvl>
    <w:lvl w:ilvl="2">
      <w:numFmt w:val="bullet"/>
      <w:lvlText w:val="•"/>
      <w:lvlJc w:val="left"/>
      <w:pPr>
        <w:ind w:left="1193" w:hanging="328"/>
      </w:pPr>
    </w:lvl>
    <w:lvl w:ilvl="3">
      <w:numFmt w:val="bullet"/>
      <w:lvlText w:val="•"/>
      <w:lvlJc w:val="left"/>
      <w:pPr>
        <w:ind w:left="1562" w:hanging="328"/>
      </w:pPr>
    </w:lvl>
    <w:lvl w:ilvl="4">
      <w:numFmt w:val="bullet"/>
      <w:lvlText w:val="•"/>
      <w:lvlJc w:val="left"/>
      <w:pPr>
        <w:ind w:left="1931" w:hanging="328"/>
      </w:pPr>
    </w:lvl>
    <w:lvl w:ilvl="5">
      <w:numFmt w:val="bullet"/>
      <w:lvlText w:val="•"/>
      <w:lvlJc w:val="left"/>
      <w:pPr>
        <w:ind w:left="2299" w:hanging="328"/>
      </w:pPr>
    </w:lvl>
    <w:lvl w:ilvl="6">
      <w:numFmt w:val="bullet"/>
      <w:lvlText w:val="•"/>
      <w:lvlJc w:val="left"/>
      <w:pPr>
        <w:ind w:left="2668" w:hanging="328"/>
      </w:pPr>
    </w:lvl>
    <w:lvl w:ilvl="7">
      <w:numFmt w:val="bullet"/>
      <w:lvlText w:val="•"/>
      <w:lvlJc w:val="left"/>
      <w:pPr>
        <w:ind w:left="3037" w:hanging="328"/>
      </w:pPr>
    </w:lvl>
    <w:lvl w:ilvl="8">
      <w:numFmt w:val="bullet"/>
      <w:lvlText w:val="•"/>
      <w:lvlJc w:val="left"/>
      <w:pPr>
        <w:ind w:left="3405" w:hanging="328"/>
      </w:pPr>
    </w:lvl>
  </w:abstractNum>
  <w:abstractNum w:abstractNumId="1" w15:restartNumberingAfterBreak="0">
    <w:nsid w:val="00000403"/>
    <w:multiLevelType w:val="multilevel"/>
    <w:tmpl w:val="00000886"/>
    <w:lvl w:ilvl="0">
      <w:numFmt w:val="bullet"/>
      <w:lvlText w:val="-"/>
      <w:lvlJc w:val="left"/>
      <w:pPr>
        <w:ind w:left="550" w:hanging="349"/>
      </w:pPr>
      <w:rPr>
        <w:rFonts w:ascii="Times New Roman" w:hAnsi="Times New Roman" w:cs="Times New Roman"/>
        <w:b w:val="0"/>
        <w:bCs w:val="0"/>
        <w:color w:val="1C1C1C"/>
        <w:w w:val="218"/>
        <w:sz w:val="23"/>
        <w:szCs w:val="23"/>
      </w:rPr>
    </w:lvl>
    <w:lvl w:ilvl="1">
      <w:numFmt w:val="bullet"/>
      <w:lvlText w:val="•"/>
      <w:lvlJc w:val="left"/>
      <w:pPr>
        <w:ind w:left="1483" w:hanging="349"/>
      </w:pPr>
    </w:lvl>
    <w:lvl w:ilvl="2">
      <w:numFmt w:val="bullet"/>
      <w:lvlText w:val="•"/>
      <w:lvlJc w:val="left"/>
      <w:pPr>
        <w:ind w:left="2416" w:hanging="349"/>
      </w:pPr>
    </w:lvl>
    <w:lvl w:ilvl="3">
      <w:numFmt w:val="bullet"/>
      <w:lvlText w:val="•"/>
      <w:lvlJc w:val="left"/>
      <w:pPr>
        <w:ind w:left="3349" w:hanging="349"/>
      </w:pPr>
    </w:lvl>
    <w:lvl w:ilvl="4">
      <w:numFmt w:val="bullet"/>
      <w:lvlText w:val="•"/>
      <w:lvlJc w:val="left"/>
      <w:pPr>
        <w:ind w:left="4282" w:hanging="349"/>
      </w:pPr>
    </w:lvl>
    <w:lvl w:ilvl="5">
      <w:numFmt w:val="bullet"/>
      <w:lvlText w:val="•"/>
      <w:lvlJc w:val="left"/>
      <w:pPr>
        <w:ind w:left="5215" w:hanging="349"/>
      </w:pPr>
    </w:lvl>
    <w:lvl w:ilvl="6">
      <w:numFmt w:val="bullet"/>
      <w:lvlText w:val="•"/>
      <w:lvlJc w:val="left"/>
      <w:pPr>
        <w:ind w:left="6148" w:hanging="349"/>
      </w:pPr>
    </w:lvl>
    <w:lvl w:ilvl="7">
      <w:numFmt w:val="bullet"/>
      <w:lvlText w:val="•"/>
      <w:lvlJc w:val="left"/>
      <w:pPr>
        <w:ind w:left="7081" w:hanging="349"/>
      </w:pPr>
    </w:lvl>
    <w:lvl w:ilvl="8">
      <w:numFmt w:val="bullet"/>
      <w:lvlText w:val="•"/>
      <w:lvlJc w:val="left"/>
      <w:pPr>
        <w:ind w:left="8014" w:hanging="349"/>
      </w:pPr>
    </w:lvl>
  </w:abstractNum>
  <w:abstractNum w:abstractNumId="2" w15:restartNumberingAfterBreak="0">
    <w:nsid w:val="00000404"/>
    <w:multiLevelType w:val="multilevel"/>
    <w:tmpl w:val="00000887"/>
    <w:lvl w:ilvl="0">
      <w:numFmt w:val="bullet"/>
      <w:lvlText w:val="•"/>
      <w:lvlJc w:val="left"/>
      <w:pPr>
        <w:ind w:left="1502" w:hanging="336"/>
      </w:pPr>
      <w:rPr>
        <w:rFonts w:ascii="Times New Roman" w:hAnsi="Times New Roman" w:cs="Times New Roman"/>
        <w:b w:val="0"/>
        <w:bCs w:val="0"/>
        <w:color w:val="1C1C1C"/>
        <w:w w:val="168"/>
        <w:sz w:val="24"/>
        <w:szCs w:val="24"/>
      </w:rPr>
    </w:lvl>
    <w:lvl w:ilvl="1">
      <w:numFmt w:val="bullet"/>
      <w:lvlText w:val="•"/>
      <w:lvlJc w:val="left"/>
      <w:pPr>
        <w:ind w:left="1866" w:hanging="336"/>
      </w:pPr>
    </w:lvl>
    <w:lvl w:ilvl="2">
      <w:numFmt w:val="bullet"/>
      <w:lvlText w:val="•"/>
      <w:lvlJc w:val="left"/>
      <w:pPr>
        <w:ind w:left="2231" w:hanging="336"/>
      </w:pPr>
    </w:lvl>
    <w:lvl w:ilvl="3">
      <w:numFmt w:val="bullet"/>
      <w:lvlText w:val="•"/>
      <w:lvlJc w:val="left"/>
      <w:pPr>
        <w:ind w:left="2595" w:hanging="336"/>
      </w:pPr>
    </w:lvl>
    <w:lvl w:ilvl="4">
      <w:numFmt w:val="bullet"/>
      <w:lvlText w:val="•"/>
      <w:lvlJc w:val="left"/>
      <w:pPr>
        <w:ind w:left="2960" w:hanging="336"/>
      </w:pPr>
    </w:lvl>
    <w:lvl w:ilvl="5">
      <w:numFmt w:val="bullet"/>
      <w:lvlText w:val="•"/>
      <w:lvlJc w:val="left"/>
      <w:pPr>
        <w:ind w:left="3324" w:hanging="336"/>
      </w:pPr>
    </w:lvl>
    <w:lvl w:ilvl="6">
      <w:numFmt w:val="bullet"/>
      <w:lvlText w:val="•"/>
      <w:lvlJc w:val="left"/>
      <w:pPr>
        <w:ind w:left="3689" w:hanging="336"/>
      </w:pPr>
    </w:lvl>
    <w:lvl w:ilvl="7">
      <w:numFmt w:val="bullet"/>
      <w:lvlText w:val="•"/>
      <w:lvlJc w:val="left"/>
      <w:pPr>
        <w:ind w:left="4054" w:hanging="336"/>
      </w:pPr>
    </w:lvl>
    <w:lvl w:ilvl="8">
      <w:numFmt w:val="bullet"/>
      <w:lvlText w:val="•"/>
      <w:lvlJc w:val="left"/>
      <w:pPr>
        <w:ind w:left="4418" w:hanging="336"/>
      </w:pPr>
    </w:lvl>
  </w:abstractNum>
  <w:abstractNum w:abstractNumId="3" w15:restartNumberingAfterBreak="0">
    <w:nsid w:val="20DA70E2"/>
    <w:multiLevelType w:val="multilevel"/>
    <w:tmpl w:val="9F8086CE"/>
    <w:lvl w:ilvl="0">
      <w:start w:val="1"/>
      <w:numFmt w:val="decimal"/>
      <w:lvlText w:val="%1.0"/>
      <w:lvlJc w:val="left"/>
      <w:pPr>
        <w:ind w:left="1080" w:hanging="660"/>
      </w:pPr>
      <w:rPr>
        <w:rFonts w:hint="default"/>
        <w:u w:val="none"/>
      </w:rPr>
    </w:lvl>
    <w:lvl w:ilvl="1">
      <w:start w:val="1"/>
      <w:numFmt w:val="decimal"/>
      <w:lvlText w:val="%1.%2"/>
      <w:lvlJc w:val="left"/>
      <w:pPr>
        <w:ind w:left="1800" w:hanging="660"/>
      </w:pPr>
      <w:rPr>
        <w:rFonts w:hint="default"/>
        <w:u w:val="none"/>
      </w:rPr>
    </w:lvl>
    <w:lvl w:ilvl="2">
      <w:start w:val="1"/>
      <w:numFmt w:val="decimal"/>
      <w:lvlText w:val="%1.%2.%3"/>
      <w:lvlJc w:val="left"/>
      <w:pPr>
        <w:ind w:left="2580" w:hanging="720"/>
      </w:pPr>
      <w:rPr>
        <w:rFonts w:hint="default"/>
        <w:u w:val="none"/>
      </w:rPr>
    </w:lvl>
    <w:lvl w:ilvl="3">
      <w:start w:val="1"/>
      <w:numFmt w:val="decimal"/>
      <w:lvlText w:val="%1.%2.%3.%4"/>
      <w:lvlJc w:val="left"/>
      <w:pPr>
        <w:ind w:left="3300" w:hanging="720"/>
      </w:pPr>
      <w:rPr>
        <w:rFonts w:hint="default"/>
        <w:u w:val="none"/>
      </w:rPr>
    </w:lvl>
    <w:lvl w:ilvl="4">
      <w:start w:val="1"/>
      <w:numFmt w:val="decimal"/>
      <w:lvlText w:val="%1.%2.%3.%4.%5"/>
      <w:lvlJc w:val="left"/>
      <w:pPr>
        <w:ind w:left="4380" w:hanging="1080"/>
      </w:pPr>
      <w:rPr>
        <w:rFonts w:hint="default"/>
        <w:u w:val="none"/>
      </w:rPr>
    </w:lvl>
    <w:lvl w:ilvl="5">
      <w:start w:val="1"/>
      <w:numFmt w:val="decimal"/>
      <w:lvlText w:val="%1.%2.%3.%4.%5.%6"/>
      <w:lvlJc w:val="left"/>
      <w:pPr>
        <w:ind w:left="5100" w:hanging="1080"/>
      </w:pPr>
      <w:rPr>
        <w:rFonts w:hint="default"/>
        <w:u w:val="none"/>
      </w:rPr>
    </w:lvl>
    <w:lvl w:ilvl="6">
      <w:start w:val="1"/>
      <w:numFmt w:val="decimal"/>
      <w:lvlText w:val="%1.%2.%3.%4.%5.%6.%7"/>
      <w:lvlJc w:val="left"/>
      <w:pPr>
        <w:ind w:left="6180" w:hanging="1440"/>
      </w:pPr>
      <w:rPr>
        <w:rFonts w:hint="default"/>
        <w:u w:val="none"/>
      </w:rPr>
    </w:lvl>
    <w:lvl w:ilvl="7">
      <w:start w:val="1"/>
      <w:numFmt w:val="decimal"/>
      <w:lvlText w:val="%1.%2.%3.%4.%5.%6.%7.%8"/>
      <w:lvlJc w:val="left"/>
      <w:pPr>
        <w:ind w:left="6900" w:hanging="1440"/>
      </w:pPr>
      <w:rPr>
        <w:rFonts w:hint="default"/>
        <w:u w:val="none"/>
      </w:rPr>
    </w:lvl>
    <w:lvl w:ilvl="8">
      <w:start w:val="1"/>
      <w:numFmt w:val="decimal"/>
      <w:lvlText w:val="%1.%2.%3.%4.%5.%6.%7.%8.%9"/>
      <w:lvlJc w:val="left"/>
      <w:pPr>
        <w:ind w:left="7980" w:hanging="1800"/>
      </w:pPr>
      <w:rPr>
        <w:rFonts w:hint="default"/>
        <w:u w:val="none"/>
      </w:rPr>
    </w:lvl>
  </w:abstractNum>
  <w:abstractNum w:abstractNumId="4" w15:restartNumberingAfterBreak="0">
    <w:nsid w:val="2F8C5143"/>
    <w:multiLevelType w:val="hybridMultilevel"/>
    <w:tmpl w:val="7A4424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6557C2"/>
    <w:multiLevelType w:val="hybridMultilevel"/>
    <w:tmpl w:val="0004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D0A4C"/>
    <w:multiLevelType w:val="multilevel"/>
    <w:tmpl w:val="6CB01ADE"/>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7" w15:restartNumberingAfterBreak="0">
    <w:nsid w:val="58CE1C9F"/>
    <w:multiLevelType w:val="hybridMultilevel"/>
    <w:tmpl w:val="85442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8D1D49"/>
    <w:multiLevelType w:val="multilevel"/>
    <w:tmpl w:val="843EB542"/>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9" w15:restartNumberingAfterBreak="0">
    <w:nsid w:val="698E35A5"/>
    <w:multiLevelType w:val="multilevel"/>
    <w:tmpl w:val="0AE8DAF4"/>
    <w:lvl w:ilvl="0">
      <w:start w:val="1"/>
      <w:numFmt w:val="decimal"/>
      <w:lvlText w:val="%1.0"/>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6F624DC5"/>
    <w:multiLevelType w:val="hybridMultilevel"/>
    <w:tmpl w:val="8B90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2645D2"/>
    <w:multiLevelType w:val="hybridMultilevel"/>
    <w:tmpl w:val="A1C8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5F4852"/>
    <w:multiLevelType w:val="hybridMultilevel"/>
    <w:tmpl w:val="50B2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70BEF"/>
    <w:multiLevelType w:val="hybridMultilevel"/>
    <w:tmpl w:val="2FA65D4C"/>
    <w:lvl w:ilvl="0" w:tplc="35FA186E">
      <w:start w:val="1"/>
      <w:numFmt w:val="decimal"/>
      <w:lvlText w:val="%1.0"/>
      <w:lvlJc w:val="left"/>
      <w:pPr>
        <w:ind w:left="720" w:hanging="360"/>
      </w:pPr>
      <w:rPr>
        <w:rFonts w:hint="default"/>
      </w:rPr>
    </w:lvl>
    <w:lvl w:ilvl="1" w:tplc="35FA186E">
      <w:start w:val="1"/>
      <w:numFmt w:val="decimal"/>
      <w:lvlText w:val="%2.0"/>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4"/>
  </w:num>
  <w:num w:numId="5">
    <w:abstractNumId w:val="6"/>
  </w:num>
  <w:num w:numId="6">
    <w:abstractNumId w:val="13"/>
  </w:num>
  <w:num w:numId="7">
    <w:abstractNumId w:val="9"/>
  </w:num>
  <w:num w:numId="8">
    <w:abstractNumId w:val="5"/>
  </w:num>
  <w:num w:numId="9">
    <w:abstractNumId w:val="12"/>
  </w:num>
  <w:num w:numId="10">
    <w:abstractNumId w:val="11"/>
  </w:num>
  <w:num w:numId="11">
    <w:abstractNumId w:val="10"/>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A13"/>
    <w:rsid w:val="000332EC"/>
    <w:rsid w:val="00050A93"/>
    <w:rsid w:val="00084EC1"/>
    <w:rsid w:val="000A7882"/>
    <w:rsid w:val="000A7B08"/>
    <w:rsid w:val="000C731C"/>
    <w:rsid w:val="000E547C"/>
    <w:rsid w:val="000F312F"/>
    <w:rsid w:val="00107486"/>
    <w:rsid w:val="00121CF4"/>
    <w:rsid w:val="00155262"/>
    <w:rsid w:val="001C61A0"/>
    <w:rsid w:val="001F0EDA"/>
    <w:rsid w:val="002070C5"/>
    <w:rsid w:val="00221CE1"/>
    <w:rsid w:val="00226892"/>
    <w:rsid w:val="00244D7D"/>
    <w:rsid w:val="0024699A"/>
    <w:rsid w:val="00254E05"/>
    <w:rsid w:val="00267BF2"/>
    <w:rsid w:val="002B178F"/>
    <w:rsid w:val="002C5CFB"/>
    <w:rsid w:val="002E123F"/>
    <w:rsid w:val="002E6957"/>
    <w:rsid w:val="003679A2"/>
    <w:rsid w:val="00387176"/>
    <w:rsid w:val="00390481"/>
    <w:rsid w:val="003B5B66"/>
    <w:rsid w:val="003B62AE"/>
    <w:rsid w:val="003F6427"/>
    <w:rsid w:val="0043393A"/>
    <w:rsid w:val="004440B6"/>
    <w:rsid w:val="00473AEA"/>
    <w:rsid w:val="00474CAA"/>
    <w:rsid w:val="004E601A"/>
    <w:rsid w:val="004F7B25"/>
    <w:rsid w:val="0057598A"/>
    <w:rsid w:val="005B2403"/>
    <w:rsid w:val="005D19BC"/>
    <w:rsid w:val="005E5F0B"/>
    <w:rsid w:val="006124D6"/>
    <w:rsid w:val="00672453"/>
    <w:rsid w:val="006A3E79"/>
    <w:rsid w:val="006C140D"/>
    <w:rsid w:val="006E4951"/>
    <w:rsid w:val="00716186"/>
    <w:rsid w:val="007438A9"/>
    <w:rsid w:val="00783B9E"/>
    <w:rsid w:val="007E25EA"/>
    <w:rsid w:val="00872F82"/>
    <w:rsid w:val="008871B6"/>
    <w:rsid w:val="008D5E6E"/>
    <w:rsid w:val="00907F28"/>
    <w:rsid w:val="009163BF"/>
    <w:rsid w:val="009773BF"/>
    <w:rsid w:val="009C739E"/>
    <w:rsid w:val="009D2883"/>
    <w:rsid w:val="009D4AD2"/>
    <w:rsid w:val="00A03E21"/>
    <w:rsid w:val="00A47485"/>
    <w:rsid w:val="00A57063"/>
    <w:rsid w:val="00AB673A"/>
    <w:rsid w:val="00AE437E"/>
    <w:rsid w:val="00B12A13"/>
    <w:rsid w:val="00B81DF4"/>
    <w:rsid w:val="00B845D1"/>
    <w:rsid w:val="00B9505F"/>
    <w:rsid w:val="00BB77BB"/>
    <w:rsid w:val="00BF0418"/>
    <w:rsid w:val="00C4647B"/>
    <w:rsid w:val="00C66BD1"/>
    <w:rsid w:val="00C9308C"/>
    <w:rsid w:val="00C96299"/>
    <w:rsid w:val="00CF7B0C"/>
    <w:rsid w:val="00D157EC"/>
    <w:rsid w:val="00D26701"/>
    <w:rsid w:val="00D30E4F"/>
    <w:rsid w:val="00D51D1A"/>
    <w:rsid w:val="00DB1AFB"/>
    <w:rsid w:val="00E33C9F"/>
    <w:rsid w:val="00E35C08"/>
    <w:rsid w:val="00E74F8B"/>
    <w:rsid w:val="00E85023"/>
    <w:rsid w:val="00E90A28"/>
    <w:rsid w:val="00EA4D6F"/>
    <w:rsid w:val="00EE7B12"/>
    <w:rsid w:val="00EF577B"/>
    <w:rsid w:val="00F17F70"/>
    <w:rsid w:val="00F446D8"/>
    <w:rsid w:val="00F449B4"/>
    <w:rsid w:val="00F47656"/>
    <w:rsid w:val="00F61DBE"/>
    <w:rsid w:val="00F67FF6"/>
    <w:rsid w:val="00FB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FA20"/>
  <w15:chartTrackingRefBased/>
  <w15:docId w15:val="{611B2001-9DE1-4BD9-A663-07A4593E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i/>
        <w:sz w:val="24"/>
        <w:szCs w:val="24"/>
        <w:u w:val="single"/>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A13"/>
    <w:pPr>
      <w:spacing w:after="0" w:line="240" w:lineRule="auto"/>
    </w:pPr>
    <w:rPr>
      <w:rFonts w:eastAsia="Times New Roman"/>
      <w:i w:val="0"/>
      <w:u w:val="none"/>
    </w:rPr>
  </w:style>
  <w:style w:type="paragraph" w:styleId="Heading1">
    <w:name w:val="heading 1"/>
    <w:basedOn w:val="Standard"/>
    <w:next w:val="Normal"/>
    <w:link w:val="Heading1Char"/>
    <w:uiPriority w:val="9"/>
    <w:rsid w:val="00B9505F"/>
    <w:pPr>
      <w:spacing w:after="0"/>
      <w:outlineLvl w:val="0"/>
    </w:pPr>
    <w:rPr>
      <w:b/>
      <w:sz w:val="56"/>
      <w:szCs w:val="56"/>
    </w:rPr>
  </w:style>
  <w:style w:type="paragraph" w:styleId="Heading2">
    <w:name w:val="heading 2"/>
    <w:basedOn w:val="Normal"/>
    <w:next w:val="Normal"/>
    <w:link w:val="Heading2Char"/>
    <w:uiPriority w:val="9"/>
    <w:semiHidden/>
    <w:unhideWhenUsed/>
    <w:qFormat/>
    <w:rsid w:val="00B950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9505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A13"/>
    <w:pPr>
      <w:ind w:left="720"/>
    </w:pPr>
  </w:style>
  <w:style w:type="table" w:styleId="TableGrid">
    <w:name w:val="Table Grid"/>
    <w:basedOn w:val="TableNormal"/>
    <w:uiPriority w:val="39"/>
    <w:rsid w:val="006C1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3C9F"/>
    <w:pPr>
      <w:spacing w:after="0" w:line="240" w:lineRule="auto"/>
    </w:pPr>
    <w:rPr>
      <w:rFonts w:asciiTheme="minorHAnsi" w:hAnsiTheme="minorHAnsi" w:cstheme="minorBidi"/>
      <w:i w:val="0"/>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505F"/>
    <w:rPr>
      <w:rFonts w:ascii="Cambria" w:eastAsia="SimSun" w:hAnsi="Cambria" w:cs="Tahoma"/>
      <w:b/>
      <w:i w:val="0"/>
      <w:kern w:val="3"/>
      <w:sz w:val="56"/>
      <w:szCs w:val="56"/>
      <w:u w:val="none"/>
    </w:rPr>
  </w:style>
  <w:style w:type="paragraph" w:customStyle="1" w:styleId="Standard">
    <w:name w:val="Standard"/>
    <w:rsid w:val="00B9505F"/>
    <w:pPr>
      <w:suppressAutoHyphens/>
      <w:autoSpaceDN w:val="0"/>
      <w:spacing w:after="60" w:line="240" w:lineRule="auto"/>
      <w:textAlignment w:val="baseline"/>
    </w:pPr>
    <w:rPr>
      <w:rFonts w:ascii="Cambria" w:eastAsia="SimSun" w:hAnsi="Cambria" w:cs="Tahoma"/>
      <w:i w:val="0"/>
      <w:kern w:val="3"/>
      <w:sz w:val="20"/>
      <w:szCs w:val="22"/>
      <w:u w:val="none"/>
    </w:rPr>
  </w:style>
  <w:style w:type="paragraph" w:customStyle="1" w:styleId="tagline">
    <w:name w:val="tag line"/>
    <w:basedOn w:val="Standard"/>
    <w:rsid w:val="00B9505F"/>
    <w:pPr>
      <w:spacing w:after="0"/>
    </w:pPr>
    <w:rPr>
      <w:i/>
    </w:rPr>
  </w:style>
  <w:style w:type="paragraph" w:customStyle="1" w:styleId="ContactInfo">
    <w:name w:val="Contact Info"/>
    <w:basedOn w:val="Standard"/>
    <w:rsid w:val="00B9505F"/>
    <w:pPr>
      <w:spacing w:after="0"/>
      <w:jc w:val="right"/>
    </w:pPr>
  </w:style>
  <w:style w:type="paragraph" w:styleId="NoSpacing">
    <w:name w:val="No Spacing"/>
    <w:uiPriority w:val="1"/>
    <w:rsid w:val="00B9505F"/>
    <w:pPr>
      <w:suppressAutoHyphens/>
      <w:autoSpaceDN w:val="0"/>
      <w:spacing w:after="0" w:line="240" w:lineRule="auto"/>
      <w:textAlignment w:val="baseline"/>
    </w:pPr>
    <w:rPr>
      <w:rFonts w:ascii="Cambria" w:eastAsia="SimSun" w:hAnsi="Cambria" w:cs="Tahoma"/>
      <w:i w:val="0"/>
      <w:kern w:val="3"/>
      <w:sz w:val="20"/>
      <w:szCs w:val="22"/>
      <w:u w:val="none"/>
    </w:rPr>
  </w:style>
  <w:style w:type="character" w:customStyle="1" w:styleId="Heading2Char">
    <w:name w:val="Heading 2 Char"/>
    <w:basedOn w:val="DefaultParagraphFont"/>
    <w:link w:val="Heading2"/>
    <w:uiPriority w:val="9"/>
    <w:semiHidden/>
    <w:rsid w:val="00B9505F"/>
    <w:rPr>
      <w:rFonts w:asciiTheme="majorHAnsi" w:eastAsiaTheme="majorEastAsia" w:hAnsiTheme="majorHAnsi" w:cstheme="majorBidi"/>
      <w:i w:val="0"/>
      <w:color w:val="2E74B5" w:themeColor="accent1" w:themeShade="BF"/>
      <w:sz w:val="26"/>
      <w:szCs w:val="26"/>
      <w:u w:val="none"/>
    </w:rPr>
  </w:style>
  <w:style w:type="character" w:customStyle="1" w:styleId="Heading3Char">
    <w:name w:val="Heading 3 Char"/>
    <w:basedOn w:val="DefaultParagraphFont"/>
    <w:link w:val="Heading3"/>
    <w:uiPriority w:val="9"/>
    <w:semiHidden/>
    <w:rsid w:val="00B9505F"/>
    <w:rPr>
      <w:rFonts w:asciiTheme="majorHAnsi" w:eastAsiaTheme="majorEastAsia" w:hAnsiTheme="majorHAnsi" w:cstheme="majorBidi"/>
      <w:i w:val="0"/>
      <w:color w:val="1F4D78" w:themeColor="accent1" w:themeShade="7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88896">
      <w:bodyDiv w:val="1"/>
      <w:marLeft w:val="0"/>
      <w:marRight w:val="0"/>
      <w:marTop w:val="0"/>
      <w:marBottom w:val="0"/>
      <w:divBdr>
        <w:top w:val="none" w:sz="0" w:space="0" w:color="auto"/>
        <w:left w:val="none" w:sz="0" w:space="0" w:color="auto"/>
        <w:bottom w:val="none" w:sz="0" w:space="0" w:color="auto"/>
        <w:right w:val="none" w:sz="0" w:space="0" w:color="auto"/>
      </w:divBdr>
    </w:div>
    <w:div w:id="535505935">
      <w:bodyDiv w:val="1"/>
      <w:marLeft w:val="0"/>
      <w:marRight w:val="0"/>
      <w:marTop w:val="0"/>
      <w:marBottom w:val="0"/>
      <w:divBdr>
        <w:top w:val="none" w:sz="0" w:space="0" w:color="auto"/>
        <w:left w:val="none" w:sz="0" w:space="0" w:color="auto"/>
        <w:bottom w:val="none" w:sz="0" w:space="0" w:color="auto"/>
        <w:right w:val="none" w:sz="0" w:space="0" w:color="auto"/>
      </w:divBdr>
    </w:div>
    <w:div w:id="102775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75867-A7C5-454C-BEB7-514CBAB3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eric.epps</cp:lastModifiedBy>
  <cp:revision>2</cp:revision>
  <cp:lastPrinted>2018-09-20T19:48:00Z</cp:lastPrinted>
  <dcterms:created xsi:type="dcterms:W3CDTF">2018-09-20T23:31:00Z</dcterms:created>
  <dcterms:modified xsi:type="dcterms:W3CDTF">2018-09-20T23:31:00Z</dcterms:modified>
</cp:coreProperties>
</file>